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Ind w:w="-106" w:type="dxa"/>
        <w:tblLayout w:type="fixed"/>
        <w:tblLook w:val="0000"/>
      </w:tblPr>
      <w:tblGrid>
        <w:gridCol w:w="4064"/>
        <w:gridCol w:w="756"/>
        <w:gridCol w:w="4648"/>
      </w:tblGrid>
      <w:tr w:rsidR="002C56D9" w:rsidRPr="00034032">
        <w:trPr>
          <w:cantSplit/>
          <w:trHeight w:val="2979"/>
        </w:trPr>
        <w:tc>
          <w:tcPr>
            <w:tcW w:w="4064" w:type="dxa"/>
            <w:vAlign w:val="center"/>
          </w:tcPr>
          <w:p w:rsidR="002C56D9" w:rsidRPr="00034032" w:rsidRDefault="002C56D9" w:rsidP="00D05194">
            <w:pPr>
              <w:rPr>
                <w:sz w:val="26"/>
                <w:szCs w:val="26"/>
              </w:rPr>
            </w:pPr>
          </w:p>
        </w:tc>
        <w:tc>
          <w:tcPr>
            <w:tcW w:w="756" w:type="dxa"/>
            <w:vAlign w:val="center"/>
          </w:tcPr>
          <w:p w:rsidR="002C56D9" w:rsidRPr="00034032" w:rsidRDefault="002C56D9" w:rsidP="00D05194">
            <w:pPr>
              <w:rPr>
                <w:sz w:val="26"/>
                <w:szCs w:val="26"/>
                <w:lang w:val="en-US"/>
              </w:rPr>
            </w:pPr>
          </w:p>
        </w:tc>
        <w:tc>
          <w:tcPr>
            <w:tcW w:w="4648" w:type="dxa"/>
          </w:tcPr>
          <w:p w:rsidR="002C56D9" w:rsidRPr="00034032" w:rsidRDefault="002C56D9" w:rsidP="00D05194">
            <w:pPr>
              <w:pStyle w:val="a"/>
              <w:jc w:val="left"/>
              <w:rPr>
                <w:sz w:val="26"/>
                <w:szCs w:val="26"/>
              </w:rPr>
            </w:pPr>
            <w:r>
              <w:rPr>
                <w:sz w:val="26"/>
                <w:szCs w:val="26"/>
              </w:rPr>
              <w:t>Дело № 04-02/31</w:t>
            </w:r>
            <w:r w:rsidRPr="00034032">
              <w:rPr>
                <w:sz w:val="26"/>
                <w:szCs w:val="26"/>
              </w:rPr>
              <w:t>-2013</w:t>
            </w:r>
          </w:p>
          <w:p w:rsidR="002C56D9" w:rsidRPr="00034032" w:rsidRDefault="002C56D9" w:rsidP="00D05194">
            <w:pPr>
              <w:pStyle w:val="a"/>
              <w:jc w:val="left"/>
              <w:rPr>
                <w:b w:val="0"/>
                <w:bCs w:val="0"/>
                <w:sz w:val="26"/>
                <w:szCs w:val="26"/>
              </w:rPr>
            </w:pPr>
          </w:p>
          <w:p w:rsidR="002C56D9" w:rsidRPr="00034032" w:rsidRDefault="002C56D9" w:rsidP="00CF23AA">
            <w:pPr>
              <w:pStyle w:val="a"/>
              <w:jc w:val="left"/>
              <w:rPr>
                <w:b w:val="0"/>
                <w:bCs w:val="0"/>
                <w:kern w:val="0"/>
                <w:sz w:val="26"/>
                <w:szCs w:val="26"/>
              </w:rPr>
            </w:pPr>
            <w:r w:rsidRPr="00034032">
              <w:rPr>
                <w:sz w:val="26"/>
                <w:szCs w:val="26"/>
              </w:rPr>
              <w:t>Заказчик:</w:t>
            </w:r>
          </w:p>
          <w:p w:rsidR="002C56D9" w:rsidRPr="00034032" w:rsidRDefault="002C56D9" w:rsidP="00CF23AA">
            <w:pPr>
              <w:pStyle w:val="a"/>
              <w:jc w:val="left"/>
              <w:rPr>
                <w:b w:val="0"/>
                <w:bCs w:val="0"/>
                <w:kern w:val="0"/>
                <w:sz w:val="26"/>
                <w:szCs w:val="26"/>
              </w:rPr>
            </w:pPr>
            <w:r>
              <w:rPr>
                <w:b w:val="0"/>
                <w:bCs w:val="0"/>
                <w:kern w:val="0"/>
                <w:sz w:val="26"/>
                <w:szCs w:val="26"/>
              </w:rPr>
              <w:t>Государственное бюджетное учреждение здравоохранения Ненецкого автономного округа «Ненецкая окружная больница»</w:t>
            </w:r>
          </w:p>
          <w:p w:rsidR="002C56D9" w:rsidRPr="00034032" w:rsidRDefault="002C56D9" w:rsidP="00CF23AA">
            <w:pPr>
              <w:pStyle w:val="a"/>
              <w:jc w:val="left"/>
              <w:rPr>
                <w:sz w:val="26"/>
                <w:szCs w:val="26"/>
              </w:rPr>
            </w:pPr>
            <w:r>
              <w:rPr>
                <w:b w:val="0"/>
                <w:bCs w:val="0"/>
                <w:kern w:val="0"/>
                <w:sz w:val="26"/>
                <w:szCs w:val="26"/>
              </w:rPr>
              <w:t>ул. Пырерка, 13А</w:t>
            </w:r>
            <w:r w:rsidRPr="00034032">
              <w:rPr>
                <w:b w:val="0"/>
                <w:bCs w:val="0"/>
                <w:kern w:val="0"/>
                <w:sz w:val="26"/>
                <w:szCs w:val="26"/>
              </w:rPr>
              <w:t>, г. Нарьян-Мар, Ненецкий АО, 166000</w:t>
            </w:r>
          </w:p>
          <w:p w:rsidR="002C56D9" w:rsidRPr="00034032" w:rsidRDefault="002C56D9" w:rsidP="00D05194">
            <w:pPr>
              <w:pStyle w:val="a"/>
              <w:jc w:val="left"/>
              <w:rPr>
                <w:b w:val="0"/>
                <w:bCs w:val="0"/>
                <w:sz w:val="26"/>
                <w:szCs w:val="26"/>
              </w:rPr>
            </w:pPr>
          </w:p>
          <w:p w:rsidR="002C56D9" w:rsidRPr="00034032" w:rsidRDefault="002C56D9" w:rsidP="00D05194">
            <w:pPr>
              <w:pStyle w:val="a"/>
              <w:rPr>
                <w:sz w:val="26"/>
                <w:szCs w:val="26"/>
              </w:rPr>
            </w:pPr>
            <w:r w:rsidRPr="00034032">
              <w:rPr>
                <w:sz w:val="26"/>
                <w:szCs w:val="26"/>
              </w:rPr>
              <w:t>Заявитель:</w:t>
            </w:r>
          </w:p>
          <w:p w:rsidR="002C56D9" w:rsidRDefault="002C56D9" w:rsidP="00D05194">
            <w:pPr>
              <w:pStyle w:val="a"/>
              <w:jc w:val="left"/>
              <w:rPr>
                <w:b w:val="0"/>
                <w:bCs w:val="0"/>
                <w:sz w:val="26"/>
                <w:szCs w:val="26"/>
              </w:rPr>
            </w:pPr>
            <w:r>
              <w:rPr>
                <w:b w:val="0"/>
                <w:bCs w:val="0"/>
                <w:sz w:val="26"/>
                <w:szCs w:val="26"/>
              </w:rPr>
              <w:t>Общество</w:t>
            </w:r>
          </w:p>
          <w:p w:rsidR="002C56D9" w:rsidRPr="008B232D" w:rsidRDefault="002C56D9" w:rsidP="00D05194">
            <w:pPr>
              <w:pStyle w:val="a"/>
              <w:jc w:val="left"/>
              <w:rPr>
                <w:b w:val="0"/>
                <w:bCs w:val="0"/>
                <w:sz w:val="26"/>
                <w:szCs w:val="26"/>
                <w:lang w:val="en-US"/>
              </w:rPr>
            </w:pPr>
            <w:r>
              <w:rPr>
                <w:b w:val="0"/>
                <w:bCs w:val="0"/>
                <w:sz w:val="26"/>
                <w:szCs w:val="26"/>
                <w:lang w:val="en-US"/>
              </w:rPr>
              <w:t>&lt;…&gt;</w:t>
            </w:r>
          </w:p>
          <w:p w:rsidR="002C56D9" w:rsidRPr="00034032" w:rsidRDefault="002C56D9" w:rsidP="00D05194">
            <w:pPr>
              <w:pStyle w:val="a"/>
              <w:jc w:val="left"/>
              <w:rPr>
                <w:b w:val="0"/>
                <w:bCs w:val="0"/>
                <w:sz w:val="26"/>
                <w:szCs w:val="26"/>
              </w:rPr>
            </w:pPr>
          </w:p>
        </w:tc>
      </w:tr>
    </w:tbl>
    <w:p w:rsidR="002C56D9" w:rsidRPr="00034032" w:rsidRDefault="002C56D9" w:rsidP="006C4A97">
      <w:pPr>
        <w:pStyle w:val="a"/>
        <w:jc w:val="left"/>
        <w:rPr>
          <w:b w:val="0"/>
          <w:bCs w:val="0"/>
          <w:sz w:val="26"/>
          <w:szCs w:val="26"/>
        </w:rPr>
      </w:pPr>
    </w:p>
    <w:p w:rsidR="002C56D9" w:rsidRDefault="002C56D9" w:rsidP="006C4A97">
      <w:pPr>
        <w:pStyle w:val="a"/>
        <w:jc w:val="left"/>
        <w:rPr>
          <w:b w:val="0"/>
          <w:bCs w:val="0"/>
          <w:sz w:val="26"/>
          <w:szCs w:val="26"/>
        </w:rPr>
      </w:pPr>
    </w:p>
    <w:p w:rsidR="002C56D9" w:rsidRDefault="002C56D9" w:rsidP="006C4A97">
      <w:pPr>
        <w:pStyle w:val="a"/>
        <w:jc w:val="left"/>
        <w:rPr>
          <w:b w:val="0"/>
          <w:bCs w:val="0"/>
          <w:sz w:val="26"/>
          <w:szCs w:val="26"/>
        </w:rPr>
      </w:pPr>
    </w:p>
    <w:p w:rsidR="002C56D9" w:rsidRPr="00034032" w:rsidRDefault="002C56D9" w:rsidP="006C4A97">
      <w:pPr>
        <w:pStyle w:val="a"/>
        <w:jc w:val="left"/>
        <w:rPr>
          <w:b w:val="0"/>
          <w:bCs w:val="0"/>
          <w:sz w:val="26"/>
          <w:szCs w:val="26"/>
        </w:rPr>
      </w:pPr>
    </w:p>
    <w:p w:rsidR="002C56D9" w:rsidRPr="00034032" w:rsidRDefault="002C56D9" w:rsidP="006C4A97">
      <w:pPr>
        <w:jc w:val="center"/>
        <w:rPr>
          <w:sz w:val="26"/>
          <w:szCs w:val="26"/>
        </w:rPr>
      </w:pPr>
      <w:r w:rsidRPr="00034032">
        <w:rPr>
          <w:sz w:val="26"/>
          <w:szCs w:val="26"/>
        </w:rPr>
        <w:t>РЕШЕНИЕ</w:t>
      </w:r>
    </w:p>
    <w:p w:rsidR="002C56D9" w:rsidRPr="00034032" w:rsidRDefault="002C56D9" w:rsidP="006C4A97">
      <w:pPr>
        <w:jc w:val="center"/>
        <w:rPr>
          <w:sz w:val="26"/>
          <w:szCs w:val="26"/>
        </w:rPr>
      </w:pPr>
      <w:r>
        <w:rPr>
          <w:sz w:val="26"/>
          <w:szCs w:val="26"/>
        </w:rPr>
        <w:t>по делу № 04-02/31</w:t>
      </w:r>
      <w:r w:rsidRPr="00034032">
        <w:rPr>
          <w:sz w:val="26"/>
          <w:szCs w:val="26"/>
        </w:rPr>
        <w:t xml:space="preserve">-2013 о нарушении </w:t>
      </w:r>
    </w:p>
    <w:p w:rsidR="002C56D9" w:rsidRPr="00034032" w:rsidRDefault="002C56D9" w:rsidP="006C4A97">
      <w:pPr>
        <w:jc w:val="center"/>
        <w:rPr>
          <w:sz w:val="26"/>
          <w:szCs w:val="26"/>
        </w:rPr>
      </w:pPr>
      <w:r w:rsidRPr="00034032">
        <w:rPr>
          <w:sz w:val="26"/>
          <w:szCs w:val="26"/>
        </w:rPr>
        <w:t xml:space="preserve"> законодательства о размещении заказов </w:t>
      </w:r>
    </w:p>
    <w:p w:rsidR="002C56D9" w:rsidRPr="00034032" w:rsidRDefault="002C56D9" w:rsidP="006C4A97">
      <w:pPr>
        <w:jc w:val="center"/>
        <w:rPr>
          <w:sz w:val="26"/>
          <w:szCs w:val="26"/>
        </w:rPr>
      </w:pPr>
    </w:p>
    <w:p w:rsidR="002C56D9" w:rsidRPr="00034032" w:rsidRDefault="002C56D9" w:rsidP="006C4A97">
      <w:pPr>
        <w:jc w:val="center"/>
        <w:rPr>
          <w:sz w:val="26"/>
          <w:szCs w:val="26"/>
        </w:rPr>
      </w:pPr>
      <w:r>
        <w:rPr>
          <w:sz w:val="26"/>
          <w:szCs w:val="26"/>
        </w:rPr>
        <w:t>«14</w:t>
      </w:r>
      <w:r w:rsidRPr="00034032">
        <w:rPr>
          <w:sz w:val="26"/>
          <w:szCs w:val="26"/>
        </w:rPr>
        <w:t xml:space="preserve">» </w:t>
      </w:r>
      <w:r>
        <w:rPr>
          <w:sz w:val="26"/>
          <w:szCs w:val="26"/>
        </w:rPr>
        <w:t>января 2014</w:t>
      </w:r>
      <w:r w:rsidRPr="00034032">
        <w:rPr>
          <w:sz w:val="26"/>
          <w:szCs w:val="26"/>
        </w:rPr>
        <w:t xml:space="preserve"> года          </w:t>
      </w:r>
      <w:r>
        <w:rPr>
          <w:sz w:val="26"/>
          <w:szCs w:val="26"/>
        </w:rPr>
        <w:t xml:space="preserve">                   </w:t>
      </w:r>
      <w:r w:rsidRPr="00034032">
        <w:rPr>
          <w:sz w:val="26"/>
          <w:szCs w:val="26"/>
        </w:rPr>
        <w:t xml:space="preserve">                                                </w:t>
      </w:r>
      <w:r>
        <w:rPr>
          <w:sz w:val="26"/>
          <w:szCs w:val="26"/>
        </w:rPr>
        <w:t xml:space="preserve">  </w:t>
      </w:r>
      <w:r w:rsidRPr="00034032">
        <w:rPr>
          <w:sz w:val="26"/>
          <w:szCs w:val="26"/>
        </w:rPr>
        <w:t xml:space="preserve">   г. Нарьян-Мар</w:t>
      </w:r>
    </w:p>
    <w:p w:rsidR="002C56D9" w:rsidRPr="00034032" w:rsidRDefault="002C56D9" w:rsidP="006C4A97">
      <w:pPr>
        <w:jc w:val="both"/>
        <w:rPr>
          <w:sz w:val="26"/>
          <w:szCs w:val="26"/>
        </w:rPr>
      </w:pPr>
    </w:p>
    <w:p w:rsidR="002C56D9" w:rsidRPr="00034032" w:rsidRDefault="002C56D9" w:rsidP="006C4A97">
      <w:pPr>
        <w:ind w:firstLine="540"/>
        <w:jc w:val="both"/>
        <w:rPr>
          <w:sz w:val="26"/>
          <w:szCs w:val="26"/>
        </w:rPr>
      </w:pPr>
      <w:r w:rsidRPr="00034032">
        <w:rPr>
          <w:sz w:val="26"/>
          <w:szCs w:val="26"/>
        </w:rPr>
        <w:t>Комиссия Управления Федеральной антимонопольной службы по Ненецкому автономному округу (далее - Ненецкое УФАС России) по рассмотрению дела о нарушении Закона о размещении заказов (далее по тексту – Комиссия) в составе:</w:t>
      </w:r>
    </w:p>
    <w:p w:rsidR="002C56D9" w:rsidRPr="00034032" w:rsidRDefault="002C56D9" w:rsidP="006C4A97">
      <w:pPr>
        <w:ind w:firstLine="540"/>
        <w:jc w:val="both"/>
        <w:rPr>
          <w:sz w:val="26"/>
          <w:szCs w:val="26"/>
        </w:rPr>
      </w:pPr>
      <w:r w:rsidRPr="00034032">
        <w:rPr>
          <w:sz w:val="26"/>
          <w:szCs w:val="26"/>
        </w:rPr>
        <w:t>Председатель Комиссии:</w:t>
      </w:r>
    </w:p>
    <w:p w:rsidR="002C56D9" w:rsidRDefault="002C56D9" w:rsidP="006C4A97">
      <w:pPr>
        <w:ind w:firstLine="540"/>
        <w:jc w:val="both"/>
        <w:rPr>
          <w:sz w:val="26"/>
          <w:szCs w:val="26"/>
          <w:lang w:val="en-US"/>
        </w:rPr>
      </w:pPr>
      <w:r>
        <w:rPr>
          <w:sz w:val="26"/>
          <w:szCs w:val="26"/>
          <w:lang w:val="en-US"/>
        </w:rPr>
        <w:t>&lt;…&gt;</w:t>
      </w:r>
    </w:p>
    <w:p w:rsidR="002C56D9" w:rsidRPr="00034032" w:rsidRDefault="002C56D9" w:rsidP="006C4A97">
      <w:pPr>
        <w:ind w:firstLine="540"/>
        <w:jc w:val="both"/>
        <w:rPr>
          <w:sz w:val="26"/>
          <w:szCs w:val="26"/>
        </w:rPr>
      </w:pPr>
      <w:r w:rsidRPr="00034032">
        <w:rPr>
          <w:sz w:val="26"/>
          <w:szCs w:val="26"/>
        </w:rPr>
        <w:t>Члены Комиссии:</w:t>
      </w:r>
    </w:p>
    <w:p w:rsidR="002C56D9" w:rsidRDefault="002C56D9" w:rsidP="001918CE">
      <w:pPr>
        <w:autoSpaceDE w:val="0"/>
        <w:autoSpaceDN w:val="0"/>
        <w:adjustRightInd w:val="0"/>
        <w:ind w:firstLine="709"/>
        <w:jc w:val="both"/>
        <w:rPr>
          <w:color w:val="000000"/>
          <w:sz w:val="26"/>
          <w:szCs w:val="26"/>
          <w:lang w:val="en-US"/>
        </w:rPr>
      </w:pPr>
      <w:r>
        <w:rPr>
          <w:color w:val="000000"/>
          <w:sz w:val="26"/>
          <w:szCs w:val="26"/>
          <w:lang w:val="en-US"/>
        </w:rPr>
        <w:t>&lt;…&gt;</w:t>
      </w:r>
    </w:p>
    <w:p w:rsidR="002C56D9" w:rsidRPr="001918CE" w:rsidRDefault="002C56D9" w:rsidP="001918CE">
      <w:pPr>
        <w:autoSpaceDE w:val="0"/>
        <w:autoSpaceDN w:val="0"/>
        <w:adjustRightInd w:val="0"/>
        <w:ind w:firstLine="709"/>
        <w:jc w:val="both"/>
        <w:rPr>
          <w:sz w:val="26"/>
          <w:szCs w:val="26"/>
        </w:rPr>
      </w:pPr>
      <w:r w:rsidRPr="00B625E1">
        <w:rPr>
          <w:sz w:val="26"/>
          <w:szCs w:val="26"/>
        </w:rPr>
        <w:t xml:space="preserve">при участии представителей Заказчика по доверенности от 13.01.2014 № б/н и от 13.01.2014 № б/н, в отсутствие представителя Заявителя, уведомленного надлежащим образом, рассмотрев жалобу Заявителя на действия аукционной комиссии Заказчика при проведении открытого аукциона в электронной форме на поставку </w:t>
      </w:r>
      <w:r>
        <w:rPr>
          <w:sz w:val="26"/>
          <w:szCs w:val="26"/>
        </w:rPr>
        <w:t>реагентов для гематологических анализаторов</w:t>
      </w:r>
      <w:r w:rsidRPr="00B625E1">
        <w:rPr>
          <w:sz w:val="26"/>
          <w:szCs w:val="26"/>
        </w:rPr>
        <w:t xml:space="preserve"> (номер извещения на официальном сайте www.</w:t>
      </w:r>
      <w:hyperlink r:id="rId6" w:history="1">
        <w:r w:rsidRPr="00B625E1">
          <w:rPr>
            <w:sz w:val="26"/>
            <w:szCs w:val="26"/>
          </w:rPr>
          <w:t>zakupki.gov.ru</w:t>
        </w:r>
      </w:hyperlink>
      <w:r w:rsidRPr="00B625E1">
        <w:rPr>
          <w:sz w:val="26"/>
          <w:szCs w:val="26"/>
        </w:rPr>
        <w:t xml:space="preserve"> – </w:t>
      </w:r>
      <w:r w:rsidRPr="00B625E1">
        <w:rPr>
          <w:color w:val="000000"/>
          <w:sz w:val="26"/>
          <w:szCs w:val="26"/>
        </w:rPr>
        <w:t>0384200001813000511</w:t>
      </w:r>
      <w:r w:rsidRPr="00B625E1">
        <w:rPr>
          <w:sz w:val="26"/>
          <w:szCs w:val="26"/>
        </w:rPr>
        <w:t>) по результатам внеплановой проверки, проведенной в соответствии со статьей 112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6"/>
          <w:szCs w:val="26"/>
        </w:rPr>
        <w:t xml:space="preserve"> (далее по тексту – Закон № 44-ФЗ)</w:t>
      </w:r>
      <w:r w:rsidRPr="00B625E1">
        <w:rPr>
          <w:sz w:val="26"/>
          <w:szCs w:val="26"/>
        </w:rPr>
        <w:t xml:space="preserve">, частью 5 статьи 17 Федерального закона от 21 июля 2005 № 94-ФЗ «О размещении заказов на поставки товаров, выполнение работ, оказание услуг для государственных и муниципальных нужд» (далее по тексту – Закон о размещении заказов), </w:t>
      </w:r>
      <w:r>
        <w:rPr>
          <w:sz w:val="26"/>
          <w:szCs w:val="26"/>
        </w:rPr>
        <w:t>пунктом</w:t>
      </w:r>
      <w:r w:rsidRPr="001918CE">
        <w:rPr>
          <w:sz w:val="26"/>
          <w:szCs w:val="26"/>
        </w:rPr>
        <w:t xml:space="preserve"> 2 Постановления Правительства РФ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r>
        <w:rPr>
          <w:sz w:val="26"/>
          <w:szCs w:val="26"/>
        </w:rPr>
        <w:t>,</w:t>
      </w:r>
    </w:p>
    <w:p w:rsidR="002C56D9" w:rsidRPr="00B625E1" w:rsidRDefault="002C56D9" w:rsidP="001918CE">
      <w:pPr>
        <w:autoSpaceDE w:val="0"/>
        <w:autoSpaceDN w:val="0"/>
        <w:adjustRightInd w:val="0"/>
        <w:jc w:val="both"/>
        <w:rPr>
          <w:sz w:val="26"/>
          <w:szCs w:val="26"/>
        </w:rPr>
      </w:pPr>
    </w:p>
    <w:p w:rsidR="002C56D9" w:rsidRPr="00034032" w:rsidRDefault="002C56D9" w:rsidP="006C4A97">
      <w:pPr>
        <w:ind w:right="-50" w:firstLine="540"/>
        <w:jc w:val="center"/>
        <w:rPr>
          <w:sz w:val="26"/>
          <w:szCs w:val="26"/>
        </w:rPr>
      </w:pPr>
      <w:r w:rsidRPr="00034032">
        <w:rPr>
          <w:sz w:val="26"/>
          <w:szCs w:val="26"/>
        </w:rPr>
        <w:t>УСТАНОВИЛА:</w:t>
      </w:r>
    </w:p>
    <w:p w:rsidR="002C56D9" w:rsidRPr="00034032" w:rsidRDefault="002C56D9" w:rsidP="006C4A97">
      <w:pPr>
        <w:ind w:right="-50" w:firstLine="540"/>
        <w:jc w:val="center"/>
        <w:rPr>
          <w:sz w:val="26"/>
          <w:szCs w:val="26"/>
        </w:rPr>
      </w:pPr>
    </w:p>
    <w:p w:rsidR="002C56D9" w:rsidRDefault="002C56D9" w:rsidP="00C46C87">
      <w:pPr>
        <w:ind w:firstLine="709"/>
        <w:jc w:val="both"/>
        <w:rPr>
          <w:sz w:val="26"/>
          <w:szCs w:val="26"/>
        </w:rPr>
      </w:pPr>
      <w:r>
        <w:rPr>
          <w:sz w:val="26"/>
          <w:szCs w:val="26"/>
        </w:rPr>
        <w:t xml:space="preserve">31.12.2013 г. </w:t>
      </w:r>
      <w:r w:rsidRPr="00034032">
        <w:rPr>
          <w:sz w:val="26"/>
          <w:szCs w:val="26"/>
        </w:rPr>
        <w:t>в Ненецкое УФАС России поступила жалоба</w:t>
      </w:r>
      <w:r>
        <w:rPr>
          <w:sz w:val="26"/>
          <w:szCs w:val="26"/>
        </w:rPr>
        <w:t xml:space="preserve"> (вх. № 01-16/1417) от</w:t>
      </w:r>
      <w:r w:rsidRPr="008B232D">
        <w:rPr>
          <w:sz w:val="26"/>
          <w:szCs w:val="26"/>
        </w:rPr>
        <w:t xml:space="preserve"> </w:t>
      </w:r>
      <w:r>
        <w:rPr>
          <w:sz w:val="26"/>
          <w:szCs w:val="26"/>
        </w:rPr>
        <w:t xml:space="preserve">Общества </w:t>
      </w:r>
      <w:r w:rsidRPr="00034032">
        <w:rPr>
          <w:sz w:val="26"/>
          <w:szCs w:val="26"/>
        </w:rPr>
        <w:t>на действия</w:t>
      </w:r>
      <w:r>
        <w:rPr>
          <w:sz w:val="26"/>
          <w:szCs w:val="26"/>
        </w:rPr>
        <w:t xml:space="preserve"> аукционной</w:t>
      </w:r>
      <w:r w:rsidRPr="00034032">
        <w:rPr>
          <w:sz w:val="26"/>
          <w:szCs w:val="26"/>
        </w:rPr>
        <w:t xml:space="preserve"> </w:t>
      </w:r>
      <w:r>
        <w:rPr>
          <w:sz w:val="26"/>
          <w:szCs w:val="26"/>
        </w:rPr>
        <w:t xml:space="preserve">комиссии </w:t>
      </w:r>
      <w:r w:rsidRPr="00034032">
        <w:rPr>
          <w:sz w:val="26"/>
          <w:szCs w:val="26"/>
        </w:rPr>
        <w:t>Заказчика –</w:t>
      </w:r>
      <w:r>
        <w:rPr>
          <w:sz w:val="26"/>
          <w:szCs w:val="26"/>
        </w:rPr>
        <w:t xml:space="preserve"> ГБУЗ НАО «Ненецкая окружная больница» </w:t>
      </w:r>
      <w:r w:rsidRPr="00034032">
        <w:rPr>
          <w:sz w:val="26"/>
          <w:szCs w:val="26"/>
        </w:rPr>
        <w:t xml:space="preserve">при проведении открытого аукциона в электронной форме на </w:t>
      </w:r>
      <w:r>
        <w:rPr>
          <w:sz w:val="26"/>
          <w:szCs w:val="26"/>
        </w:rPr>
        <w:t xml:space="preserve">поставку реагентов для гематологических анализаторов (номер извещения на официальном сайте </w:t>
      </w:r>
      <w:r w:rsidRPr="00034032">
        <w:rPr>
          <w:sz w:val="26"/>
          <w:szCs w:val="26"/>
        </w:rPr>
        <w:t>www.</w:t>
      </w:r>
      <w:hyperlink r:id="rId7" w:history="1">
        <w:r w:rsidRPr="00034032">
          <w:rPr>
            <w:sz w:val="26"/>
            <w:szCs w:val="26"/>
          </w:rPr>
          <w:t>zakupki.gov.ru</w:t>
        </w:r>
      </w:hyperlink>
      <w:r>
        <w:t xml:space="preserve"> – </w:t>
      </w:r>
      <w:r w:rsidRPr="00A74EFA">
        <w:rPr>
          <w:color w:val="000000"/>
          <w:sz w:val="26"/>
          <w:szCs w:val="26"/>
        </w:rPr>
        <w:t>0384200001813000511</w:t>
      </w:r>
      <w:r>
        <w:rPr>
          <w:sz w:val="26"/>
          <w:szCs w:val="26"/>
        </w:rPr>
        <w:t>) (далее по тексту – открытый аукцион в электронной форме), в которой Заявитель, предложивший к поставке реагенты производства компании «Диагон Кфт.» для гематологических анализаторов, просит:</w:t>
      </w:r>
    </w:p>
    <w:p w:rsidR="002C56D9" w:rsidRDefault="002C56D9" w:rsidP="00C46C87">
      <w:pPr>
        <w:ind w:firstLine="709"/>
        <w:jc w:val="both"/>
        <w:rPr>
          <w:sz w:val="26"/>
          <w:szCs w:val="26"/>
        </w:rPr>
      </w:pPr>
      <w:r>
        <w:rPr>
          <w:sz w:val="26"/>
          <w:szCs w:val="26"/>
        </w:rPr>
        <w:t>- приостановить размещение заказа;</w:t>
      </w:r>
    </w:p>
    <w:p w:rsidR="002C56D9" w:rsidRDefault="002C56D9" w:rsidP="00C46C87">
      <w:pPr>
        <w:ind w:firstLine="709"/>
        <w:jc w:val="both"/>
        <w:rPr>
          <w:sz w:val="26"/>
          <w:szCs w:val="26"/>
        </w:rPr>
      </w:pPr>
      <w:r>
        <w:rPr>
          <w:sz w:val="26"/>
          <w:szCs w:val="26"/>
        </w:rPr>
        <w:t>- признать отказ в допуске Общества к участию в открытом аукционе в электронной форме необоснованным;</w:t>
      </w:r>
    </w:p>
    <w:p w:rsidR="002C56D9" w:rsidRDefault="002C56D9" w:rsidP="00C46C87">
      <w:pPr>
        <w:ind w:firstLine="709"/>
        <w:jc w:val="both"/>
        <w:rPr>
          <w:sz w:val="26"/>
          <w:szCs w:val="26"/>
        </w:rPr>
      </w:pPr>
      <w:r>
        <w:rPr>
          <w:sz w:val="26"/>
          <w:szCs w:val="26"/>
        </w:rPr>
        <w:t>- обязать аукционную комиссию отменить протокол рассмотрения заявок;</w:t>
      </w:r>
    </w:p>
    <w:p w:rsidR="002C56D9" w:rsidRDefault="002C56D9" w:rsidP="00C46C87">
      <w:pPr>
        <w:ind w:firstLine="709"/>
        <w:jc w:val="both"/>
        <w:rPr>
          <w:sz w:val="26"/>
          <w:szCs w:val="26"/>
        </w:rPr>
      </w:pPr>
      <w:r>
        <w:rPr>
          <w:sz w:val="26"/>
          <w:szCs w:val="26"/>
        </w:rPr>
        <w:t>- обязать Заказчика повторно рассмотреть заявки  на участие в открытом аукционе в электронной форме;</w:t>
      </w:r>
    </w:p>
    <w:p w:rsidR="002C56D9" w:rsidRDefault="002C56D9" w:rsidP="00045983">
      <w:pPr>
        <w:ind w:firstLine="709"/>
        <w:jc w:val="both"/>
        <w:rPr>
          <w:sz w:val="26"/>
          <w:szCs w:val="26"/>
        </w:rPr>
      </w:pPr>
      <w:r>
        <w:rPr>
          <w:sz w:val="26"/>
          <w:szCs w:val="26"/>
        </w:rPr>
        <w:t>- обязать ГБУЗ НАО «Ненецкая окружная больница» устранить нарушения и провести аукцион в соответствии с законодательством Российской Федерации.</w:t>
      </w:r>
    </w:p>
    <w:p w:rsidR="002C56D9" w:rsidRPr="00034032" w:rsidRDefault="002C56D9" w:rsidP="00C46C87">
      <w:pPr>
        <w:autoSpaceDE w:val="0"/>
        <w:autoSpaceDN w:val="0"/>
        <w:adjustRightInd w:val="0"/>
        <w:ind w:firstLine="709"/>
        <w:jc w:val="both"/>
        <w:rPr>
          <w:sz w:val="26"/>
          <w:szCs w:val="26"/>
        </w:rPr>
      </w:pPr>
      <w:r w:rsidRPr="00034032">
        <w:rPr>
          <w:sz w:val="26"/>
          <w:szCs w:val="26"/>
        </w:rPr>
        <w:t>При проведении внеплановой проверки по жалобе Заявителя Комиссией установлено следующее:</w:t>
      </w:r>
    </w:p>
    <w:p w:rsidR="002C56D9" w:rsidRDefault="002C56D9" w:rsidP="00C46C87">
      <w:pPr>
        <w:ind w:firstLine="709"/>
        <w:jc w:val="both"/>
        <w:rPr>
          <w:sz w:val="26"/>
          <w:szCs w:val="26"/>
        </w:rPr>
      </w:pPr>
      <w:r>
        <w:rPr>
          <w:sz w:val="26"/>
          <w:szCs w:val="26"/>
        </w:rPr>
        <w:t xml:space="preserve">13.12.2013 г. </w:t>
      </w:r>
      <w:r w:rsidRPr="00034032">
        <w:rPr>
          <w:sz w:val="26"/>
          <w:szCs w:val="26"/>
        </w:rPr>
        <w:t xml:space="preserve">на официальном сайте Российской Федерации для размещения информации о размещении заказов на поставки товаров, выполнение работ, оказание услуг в сети «Интернет» </w:t>
      </w:r>
      <w:hyperlink r:id="rId8" w:history="1">
        <w:r w:rsidRPr="00034032">
          <w:rPr>
            <w:rStyle w:val="Hyperlink"/>
            <w:color w:val="auto"/>
            <w:sz w:val="26"/>
            <w:szCs w:val="26"/>
            <w:u w:val="none"/>
            <w:lang w:val="en-US"/>
          </w:rPr>
          <w:t>www</w:t>
        </w:r>
        <w:r w:rsidRPr="00034032">
          <w:rPr>
            <w:rStyle w:val="Hyperlink"/>
            <w:color w:val="auto"/>
            <w:sz w:val="26"/>
            <w:szCs w:val="26"/>
            <w:u w:val="none"/>
          </w:rPr>
          <w:t>.</w:t>
        </w:r>
        <w:r w:rsidRPr="00034032">
          <w:rPr>
            <w:rStyle w:val="Hyperlink"/>
            <w:color w:val="auto"/>
            <w:sz w:val="26"/>
            <w:szCs w:val="26"/>
            <w:u w:val="none"/>
            <w:lang w:val="en-US"/>
          </w:rPr>
          <w:t>zakupki</w:t>
        </w:r>
        <w:r w:rsidRPr="00034032">
          <w:rPr>
            <w:rStyle w:val="Hyperlink"/>
            <w:color w:val="auto"/>
            <w:sz w:val="26"/>
            <w:szCs w:val="26"/>
            <w:u w:val="none"/>
          </w:rPr>
          <w:t>.</w:t>
        </w:r>
        <w:r w:rsidRPr="00034032">
          <w:rPr>
            <w:rStyle w:val="Hyperlink"/>
            <w:color w:val="auto"/>
            <w:sz w:val="26"/>
            <w:szCs w:val="26"/>
            <w:u w:val="none"/>
            <w:lang w:val="en-US"/>
          </w:rPr>
          <w:t>gov</w:t>
        </w:r>
        <w:r w:rsidRPr="00034032">
          <w:rPr>
            <w:rStyle w:val="Hyperlink"/>
            <w:color w:val="auto"/>
            <w:sz w:val="26"/>
            <w:szCs w:val="26"/>
            <w:u w:val="none"/>
          </w:rPr>
          <w:t>.</w:t>
        </w:r>
        <w:r w:rsidRPr="00034032">
          <w:rPr>
            <w:rStyle w:val="Hyperlink"/>
            <w:color w:val="auto"/>
            <w:sz w:val="26"/>
            <w:szCs w:val="26"/>
            <w:u w:val="none"/>
            <w:lang w:val="en-US"/>
          </w:rPr>
          <w:t>ru</w:t>
        </w:r>
      </w:hyperlink>
      <w:r w:rsidRPr="00034032">
        <w:rPr>
          <w:sz w:val="26"/>
          <w:szCs w:val="26"/>
        </w:rPr>
        <w:t xml:space="preserve"> было размещено извещение о проведении открытого аукциона </w:t>
      </w:r>
      <w:r>
        <w:rPr>
          <w:sz w:val="26"/>
          <w:szCs w:val="26"/>
        </w:rPr>
        <w:t xml:space="preserve">на поставку реагентов для гематологических анализаторов </w:t>
      </w:r>
      <w:r w:rsidRPr="00034032">
        <w:rPr>
          <w:sz w:val="26"/>
          <w:szCs w:val="26"/>
        </w:rPr>
        <w:t>(номер извещения на официальном сайте www.</w:t>
      </w:r>
      <w:hyperlink r:id="rId9" w:history="1">
        <w:r w:rsidRPr="00034032">
          <w:rPr>
            <w:sz w:val="26"/>
            <w:szCs w:val="26"/>
          </w:rPr>
          <w:t>zakupki.gov.ru</w:t>
        </w:r>
      </w:hyperlink>
      <w:r>
        <w:t xml:space="preserve"> – </w:t>
      </w:r>
      <w:r w:rsidRPr="00A74EFA">
        <w:rPr>
          <w:color w:val="000000"/>
          <w:sz w:val="26"/>
          <w:szCs w:val="26"/>
        </w:rPr>
        <w:t>0384200001813000511</w:t>
      </w:r>
      <w:r>
        <w:rPr>
          <w:color w:val="000000"/>
          <w:sz w:val="26"/>
          <w:szCs w:val="26"/>
        </w:rPr>
        <w:t xml:space="preserve">). </w:t>
      </w:r>
    </w:p>
    <w:p w:rsidR="002C56D9" w:rsidRDefault="002C56D9" w:rsidP="00C46C87">
      <w:pPr>
        <w:autoSpaceDE w:val="0"/>
        <w:autoSpaceDN w:val="0"/>
        <w:adjustRightInd w:val="0"/>
        <w:ind w:firstLine="709"/>
        <w:jc w:val="both"/>
        <w:rPr>
          <w:sz w:val="26"/>
          <w:szCs w:val="26"/>
        </w:rPr>
      </w:pPr>
      <w:r w:rsidRPr="00034032">
        <w:rPr>
          <w:sz w:val="26"/>
          <w:szCs w:val="26"/>
        </w:rPr>
        <w:t>Заказчик –</w:t>
      </w:r>
      <w:r>
        <w:rPr>
          <w:sz w:val="26"/>
          <w:szCs w:val="26"/>
        </w:rPr>
        <w:t xml:space="preserve"> Государственное бюджетное учреждение здравоохранения </w:t>
      </w:r>
      <w:r w:rsidRPr="00034032">
        <w:rPr>
          <w:sz w:val="26"/>
          <w:szCs w:val="26"/>
        </w:rPr>
        <w:t>Ненецкого автономного округа</w:t>
      </w:r>
      <w:r>
        <w:rPr>
          <w:sz w:val="26"/>
          <w:szCs w:val="26"/>
        </w:rPr>
        <w:t xml:space="preserve"> «Ненецкая окружная больница»</w:t>
      </w:r>
      <w:r w:rsidRPr="00034032">
        <w:rPr>
          <w:sz w:val="26"/>
          <w:szCs w:val="26"/>
        </w:rPr>
        <w:t>.</w:t>
      </w:r>
    </w:p>
    <w:p w:rsidR="002C56D9" w:rsidRPr="00034032" w:rsidRDefault="002C56D9" w:rsidP="00C46C87">
      <w:pPr>
        <w:autoSpaceDE w:val="0"/>
        <w:autoSpaceDN w:val="0"/>
        <w:adjustRightInd w:val="0"/>
        <w:ind w:firstLine="709"/>
        <w:jc w:val="both"/>
        <w:rPr>
          <w:sz w:val="26"/>
          <w:szCs w:val="26"/>
        </w:rPr>
      </w:pPr>
      <w:r w:rsidRPr="00034032">
        <w:rPr>
          <w:sz w:val="26"/>
          <w:szCs w:val="26"/>
        </w:rPr>
        <w:t>Предмет контракта –</w:t>
      </w:r>
      <w:r>
        <w:rPr>
          <w:sz w:val="26"/>
          <w:szCs w:val="26"/>
        </w:rPr>
        <w:t xml:space="preserve"> поставка реагентов для гематологических анализаторов.</w:t>
      </w:r>
    </w:p>
    <w:p w:rsidR="002C56D9" w:rsidRDefault="002C56D9" w:rsidP="00C46C87">
      <w:pPr>
        <w:ind w:firstLine="709"/>
        <w:jc w:val="both"/>
        <w:rPr>
          <w:sz w:val="26"/>
          <w:szCs w:val="26"/>
        </w:rPr>
      </w:pPr>
      <w:r w:rsidRPr="00034032">
        <w:rPr>
          <w:sz w:val="26"/>
          <w:szCs w:val="26"/>
        </w:rPr>
        <w:t>С</w:t>
      </w:r>
      <w:r>
        <w:rPr>
          <w:sz w:val="26"/>
          <w:szCs w:val="26"/>
        </w:rPr>
        <w:t>рок окончания подачи заявок – 21.12.2013 09 часов 00 минут.</w:t>
      </w:r>
    </w:p>
    <w:p w:rsidR="002C56D9" w:rsidRPr="000F73C7" w:rsidRDefault="002C56D9" w:rsidP="00C46C87">
      <w:pPr>
        <w:ind w:firstLine="709"/>
        <w:jc w:val="both"/>
        <w:rPr>
          <w:sz w:val="26"/>
          <w:szCs w:val="26"/>
        </w:rPr>
      </w:pPr>
      <w:r>
        <w:rPr>
          <w:sz w:val="26"/>
          <w:szCs w:val="26"/>
        </w:rPr>
        <w:t>Начальная (м</w:t>
      </w:r>
      <w:r w:rsidRPr="00034032">
        <w:rPr>
          <w:sz w:val="26"/>
          <w:szCs w:val="26"/>
        </w:rPr>
        <w:t>аксимальная</w:t>
      </w:r>
      <w:r>
        <w:rPr>
          <w:sz w:val="26"/>
          <w:szCs w:val="26"/>
        </w:rPr>
        <w:t>)</w:t>
      </w:r>
      <w:r w:rsidRPr="00034032">
        <w:rPr>
          <w:sz w:val="26"/>
          <w:szCs w:val="26"/>
        </w:rPr>
        <w:t xml:space="preserve"> цена контракта –</w:t>
      </w:r>
      <w:r>
        <w:rPr>
          <w:sz w:val="26"/>
          <w:szCs w:val="26"/>
        </w:rPr>
        <w:t xml:space="preserve"> </w:t>
      </w:r>
      <w:r w:rsidRPr="000F73C7">
        <w:rPr>
          <w:color w:val="000000"/>
          <w:sz w:val="26"/>
          <w:szCs w:val="26"/>
        </w:rPr>
        <w:t>1 955 071,36 рублей.</w:t>
      </w:r>
    </w:p>
    <w:p w:rsidR="002C56D9" w:rsidRDefault="002C56D9" w:rsidP="00C46C87">
      <w:pPr>
        <w:ind w:firstLine="709"/>
        <w:jc w:val="both"/>
        <w:rPr>
          <w:sz w:val="26"/>
          <w:szCs w:val="26"/>
        </w:rPr>
      </w:pPr>
      <w:r>
        <w:rPr>
          <w:sz w:val="26"/>
          <w:szCs w:val="26"/>
        </w:rPr>
        <w:t>Общее количество заявок: 2.</w:t>
      </w:r>
    </w:p>
    <w:p w:rsidR="002C56D9" w:rsidRPr="00034032" w:rsidRDefault="002C56D9" w:rsidP="00C46C87">
      <w:pPr>
        <w:ind w:firstLine="709"/>
        <w:jc w:val="both"/>
        <w:rPr>
          <w:sz w:val="26"/>
          <w:szCs w:val="26"/>
        </w:rPr>
      </w:pPr>
      <w:r w:rsidRPr="00034032">
        <w:rPr>
          <w:sz w:val="26"/>
          <w:szCs w:val="26"/>
        </w:rPr>
        <w:t>По запросу Ненецкого УФАС России</w:t>
      </w:r>
      <w:r w:rsidRPr="00034032">
        <w:rPr>
          <w:b/>
          <w:bCs/>
          <w:sz w:val="26"/>
          <w:szCs w:val="26"/>
        </w:rPr>
        <w:t xml:space="preserve"> </w:t>
      </w:r>
      <w:r w:rsidRPr="00034032">
        <w:rPr>
          <w:sz w:val="26"/>
          <w:szCs w:val="26"/>
        </w:rPr>
        <w:t>(уведомление о рассмо</w:t>
      </w:r>
      <w:r>
        <w:rPr>
          <w:sz w:val="26"/>
          <w:szCs w:val="26"/>
        </w:rPr>
        <w:t>трении жалобы (исх. № 04-02/1335 от 31</w:t>
      </w:r>
      <w:r w:rsidRPr="00034032">
        <w:rPr>
          <w:sz w:val="26"/>
          <w:szCs w:val="26"/>
        </w:rPr>
        <w:t>.12.2013))</w:t>
      </w:r>
      <w:r>
        <w:rPr>
          <w:sz w:val="26"/>
          <w:szCs w:val="26"/>
        </w:rPr>
        <w:t xml:space="preserve"> </w:t>
      </w:r>
    </w:p>
    <w:p w:rsidR="002C56D9" w:rsidRPr="00034032" w:rsidRDefault="002C56D9" w:rsidP="00C46C87">
      <w:pPr>
        <w:autoSpaceDE w:val="0"/>
        <w:autoSpaceDN w:val="0"/>
        <w:adjustRightInd w:val="0"/>
        <w:ind w:firstLine="709"/>
        <w:jc w:val="both"/>
        <w:rPr>
          <w:sz w:val="26"/>
          <w:szCs w:val="26"/>
        </w:rPr>
      </w:pPr>
      <w:r w:rsidRPr="00034032">
        <w:rPr>
          <w:sz w:val="26"/>
          <w:szCs w:val="26"/>
        </w:rPr>
        <w:t>Зак</w:t>
      </w:r>
      <w:r>
        <w:rPr>
          <w:sz w:val="26"/>
          <w:szCs w:val="26"/>
        </w:rPr>
        <w:t>азчиком</w:t>
      </w:r>
      <w:r w:rsidRPr="00034032">
        <w:rPr>
          <w:sz w:val="26"/>
          <w:szCs w:val="26"/>
        </w:rPr>
        <w:t xml:space="preserve"> были представлены письменные объяснения по существу заявленной жалобы, из которых следует, что жалоба </w:t>
      </w:r>
      <w:r>
        <w:rPr>
          <w:sz w:val="26"/>
          <w:szCs w:val="26"/>
        </w:rPr>
        <w:t>является необоснованной.</w:t>
      </w:r>
    </w:p>
    <w:p w:rsidR="002C56D9" w:rsidRDefault="002C56D9" w:rsidP="00C46C87">
      <w:pPr>
        <w:autoSpaceDE w:val="0"/>
        <w:autoSpaceDN w:val="0"/>
        <w:adjustRightInd w:val="0"/>
        <w:ind w:firstLine="709"/>
        <w:jc w:val="both"/>
        <w:rPr>
          <w:sz w:val="26"/>
          <w:szCs w:val="26"/>
        </w:rPr>
      </w:pPr>
      <w:r>
        <w:rPr>
          <w:sz w:val="26"/>
          <w:szCs w:val="26"/>
        </w:rPr>
        <w:t>Аукционная комиссия проверяет первые части заявок на участие в открытом аукционе в электронной форме, содержащие предусмотренные частью 4 статьи 41.8 Закона о размещении заказов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w:t>
      </w:r>
      <w:hyperlink r:id="rId10" w:history="1">
        <w:r>
          <w:rPr>
            <w:color w:val="0000FF"/>
            <w:sz w:val="26"/>
            <w:szCs w:val="26"/>
          </w:rPr>
          <w:t>часть 1 статьи 41.9</w:t>
        </w:r>
      </w:hyperlink>
      <w:r>
        <w:rPr>
          <w:sz w:val="26"/>
          <w:szCs w:val="26"/>
        </w:rPr>
        <w:t xml:space="preserve"> настоящего Закона). Участник размещения заказа не допускается к участию в открытом аукционе в электронной форме в случае:</w:t>
      </w:r>
    </w:p>
    <w:p w:rsidR="002C56D9" w:rsidRDefault="002C56D9" w:rsidP="00C46C87">
      <w:pPr>
        <w:autoSpaceDE w:val="0"/>
        <w:autoSpaceDN w:val="0"/>
        <w:adjustRightInd w:val="0"/>
        <w:ind w:firstLine="709"/>
        <w:jc w:val="both"/>
        <w:rPr>
          <w:sz w:val="26"/>
          <w:szCs w:val="26"/>
        </w:rPr>
      </w:pPr>
      <w:r>
        <w:rPr>
          <w:sz w:val="26"/>
          <w:szCs w:val="26"/>
        </w:rPr>
        <w:t>1) непредоставления сведений, предусмотренных частью 4 статьи 41.8 данного закона, или предоставления недостоверных сведений;</w:t>
      </w:r>
    </w:p>
    <w:p w:rsidR="002C56D9" w:rsidRDefault="002C56D9" w:rsidP="00C46C87">
      <w:pPr>
        <w:autoSpaceDE w:val="0"/>
        <w:autoSpaceDN w:val="0"/>
        <w:adjustRightInd w:val="0"/>
        <w:ind w:firstLine="709"/>
        <w:jc w:val="both"/>
        <w:rPr>
          <w:sz w:val="26"/>
          <w:szCs w:val="26"/>
        </w:rPr>
      </w:pPr>
      <w:r>
        <w:rPr>
          <w:sz w:val="26"/>
          <w:szCs w:val="26"/>
        </w:rPr>
        <w:t>2) несоответствия сведений, предусмотренных частью 4 статьи 41.8 настоящего  закона, требованиям документации об открытом аукционе в электронной форме (</w:t>
      </w:r>
      <w:hyperlink r:id="rId11" w:history="1">
        <w:r>
          <w:rPr>
            <w:color w:val="0000FF"/>
            <w:sz w:val="26"/>
            <w:szCs w:val="26"/>
          </w:rPr>
          <w:t>часть 4 статьи 41.9</w:t>
        </w:r>
      </w:hyperlink>
      <w:r>
        <w:rPr>
          <w:sz w:val="26"/>
          <w:szCs w:val="26"/>
        </w:rPr>
        <w:t xml:space="preserve"> Закона о размещении заказов).</w:t>
      </w:r>
    </w:p>
    <w:p w:rsidR="002C56D9" w:rsidRDefault="002C56D9" w:rsidP="00C46C87">
      <w:pPr>
        <w:autoSpaceDE w:val="0"/>
        <w:autoSpaceDN w:val="0"/>
        <w:adjustRightInd w:val="0"/>
        <w:ind w:firstLine="709"/>
        <w:jc w:val="both"/>
        <w:rPr>
          <w:sz w:val="26"/>
          <w:szCs w:val="26"/>
        </w:rPr>
      </w:pPr>
      <w:r>
        <w:rPr>
          <w:sz w:val="26"/>
          <w:szCs w:val="26"/>
        </w:rPr>
        <w:t>В п. 4.1 Протокола № 1 рассмотрения первых частей заявок на участие в открытом аукционе от 25.12.2013 указано следующее:</w:t>
      </w:r>
    </w:p>
    <w:p w:rsidR="002C56D9" w:rsidRDefault="002C56D9" w:rsidP="00C46C87">
      <w:pPr>
        <w:autoSpaceDE w:val="0"/>
        <w:autoSpaceDN w:val="0"/>
        <w:adjustRightInd w:val="0"/>
        <w:ind w:firstLine="709"/>
        <w:jc w:val="both"/>
        <w:rPr>
          <w:sz w:val="26"/>
          <w:szCs w:val="26"/>
        </w:rPr>
      </w:pPr>
      <w:r>
        <w:rPr>
          <w:sz w:val="26"/>
          <w:szCs w:val="26"/>
        </w:rPr>
        <w:t xml:space="preserve">«обоснование принятого решения: несоответствие представленных сведений о предлагаемом к поставке товаре требованиям документации об аукционе в электронной форме. В нарушение подпункта «б» пункта 1 части 4 статьи 41.8 Федерального закона, подпункта «б» пункта 3.2.2.1 раздела 1.2, пункта 3.2.2 раздела 1.3 (Информационная карта аукциона), части </w:t>
      </w:r>
      <w:r>
        <w:rPr>
          <w:sz w:val="26"/>
          <w:szCs w:val="26"/>
          <w:lang w:val="en-US"/>
        </w:rPr>
        <w:t>III</w:t>
      </w:r>
      <w:r>
        <w:rPr>
          <w:sz w:val="26"/>
          <w:szCs w:val="26"/>
        </w:rPr>
        <w:t xml:space="preserve"> (Техническая часть) документации об аукционе в электронной форме показатели предлагаемого к поставке товара не соответствуют требованиям заказчика».</w:t>
      </w:r>
    </w:p>
    <w:p w:rsidR="002C56D9" w:rsidRDefault="002C56D9" w:rsidP="00825720">
      <w:pPr>
        <w:autoSpaceDE w:val="0"/>
        <w:autoSpaceDN w:val="0"/>
        <w:adjustRightInd w:val="0"/>
        <w:ind w:firstLine="709"/>
        <w:jc w:val="both"/>
        <w:rPr>
          <w:sz w:val="26"/>
          <w:szCs w:val="26"/>
        </w:rPr>
      </w:pPr>
      <w:r>
        <w:rPr>
          <w:sz w:val="26"/>
          <w:szCs w:val="26"/>
        </w:rPr>
        <w:t>Однако, из протокола № 1 рассмотрения первых частей заявок на участие в открытом аукционе от 25.12.2013 следует, что показатели предлагаемого к поставке товара соответствуют требованиям заказчика, исходя из следующего:</w:t>
      </w:r>
    </w:p>
    <w:p w:rsidR="002C56D9" w:rsidRDefault="002C56D9" w:rsidP="00C46C87">
      <w:pPr>
        <w:autoSpaceDE w:val="0"/>
        <w:autoSpaceDN w:val="0"/>
        <w:adjustRightInd w:val="0"/>
        <w:ind w:firstLine="709"/>
        <w:jc w:val="both"/>
        <w:rPr>
          <w:sz w:val="26"/>
          <w:szCs w:val="26"/>
        </w:rPr>
      </w:pPr>
    </w:p>
    <w:tbl>
      <w:tblPr>
        <w:tblW w:w="513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7"/>
        <w:gridCol w:w="3987"/>
        <w:gridCol w:w="4650"/>
      </w:tblGrid>
      <w:tr w:rsidR="002C56D9" w:rsidRPr="00C46C87">
        <w:trPr>
          <w:trHeight w:val="20"/>
        </w:trPr>
        <w:tc>
          <w:tcPr>
            <w:tcW w:w="473" w:type="pct"/>
            <w:vAlign w:val="center"/>
          </w:tcPr>
          <w:p w:rsidR="002C56D9" w:rsidRPr="00C46C87" w:rsidRDefault="002C56D9" w:rsidP="00825720">
            <w:pPr>
              <w:ind w:firstLine="709"/>
              <w:jc w:val="center"/>
              <w:rPr>
                <w:b/>
                <w:bCs/>
                <w:sz w:val="26"/>
                <w:szCs w:val="26"/>
              </w:rPr>
            </w:pPr>
            <w:r w:rsidRPr="00C46C87">
              <w:rPr>
                <w:b/>
                <w:bCs/>
                <w:sz w:val="26"/>
                <w:szCs w:val="26"/>
              </w:rPr>
              <w:t>№</w:t>
            </w:r>
          </w:p>
          <w:p w:rsidR="002C56D9" w:rsidRPr="00C46C87" w:rsidRDefault="002C56D9" w:rsidP="00825720">
            <w:pPr>
              <w:ind w:firstLine="709"/>
              <w:jc w:val="center"/>
              <w:rPr>
                <w:b/>
                <w:bCs/>
                <w:sz w:val="26"/>
                <w:szCs w:val="26"/>
              </w:rPr>
            </w:pPr>
            <w:r w:rsidRPr="00C46C87">
              <w:rPr>
                <w:b/>
                <w:bCs/>
                <w:sz w:val="26"/>
                <w:szCs w:val="26"/>
              </w:rPr>
              <w:t>п/п ТЗ</w:t>
            </w:r>
          </w:p>
        </w:tc>
        <w:tc>
          <w:tcPr>
            <w:tcW w:w="2097" w:type="pct"/>
            <w:vAlign w:val="center"/>
          </w:tcPr>
          <w:p w:rsidR="002C56D9" w:rsidRPr="00C46C87" w:rsidRDefault="002C56D9" w:rsidP="00825720">
            <w:pPr>
              <w:ind w:firstLine="709"/>
              <w:jc w:val="center"/>
              <w:rPr>
                <w:b/>
                <w:bCs/>
                <w:sz w:val="26"/>
                <w:szCs w:val="26"/>
              </w:rPr>
            </w:pPr>
            <w:r w:rsidRPr="00C46C87">
              <w:rPr>
                <w:b/>
                <w:bCs/>
                <w:sz w:val="26"/>
                <w:szCs w:val="26"/>
              </w:rPr>
              <w:t>Наименование</w:t>
            </w:r>
          </w:p>
          <w:p w:rsidR="002C56D9" w:rsidRPr="00C46C87" w:rsidRDefault="002C56D9" w:rsidP="00825720">
            <w:pPr>
              <w:ind w:firstLine="709"/>
              <w:jc w:val="center"/>
              <w:rPr>
                <w:b/>
                <w:bCs/>
                <w:sz w:val="26"/>
                <w:szCs w:val="26"/>
              </w:rPr>
            </w:pPr>
            <w:r w:rsidRPr="00C46C87">
              <w:rPr>
                <w:b/>
                <w:bCs/>
                <w:sz w:val="26"/>
                <w:szCs w:val="26"/>
              </w:rPr>
              <w:t>Технические характеристики товара</w:t>
            </w:r>
          </w:p>
          <w:p w:rsidR="002C56D9" w:rsidRPr="00C46C87" w:rsidRDefault="002C56D9" w:rsidP="00825720">
            <w:pPr>
              <w:ind w:firstLine="709"/>
              <w:jc w:val="center"/>
              <w:rPr>
                <w:b/>
                <w:bCs/>
                <w:sz w:val="26"/>
                <w:szCs w:val="26"/>
              </w:rPr>
            </w:pPr>
            <w:r w:rsidRPr="00C46C87">
              <w:rPr>
                <w:b/>
                <w:bCs/>
                <w:sz w:val="26"/>
                <w:szCs w:val="26"/>
              </w:rPr>
              <w:t>(Техническое задание)</w:t>
            </w:r>
          </w:p>
        </w:tc>
        <w:tc>
          <w:tcPr>
            <w:tcW w:w="2430" w:type="pct"/>
            <w:vAlign w:val="center"/>
          </w:tcPr>
          <w:p w:rsidR="002C56D9" w:rsidRPr="00C46C87" w:rsidRDefault="002C56D9" w:rsidP="00825720">
            <w:pPr>
              <w:ind w:firstLine="709"/>
              <w:jc w:val="center"/>
              <w:rPr>
                <w:b/>
                <w:bCs/>
                <w:sz w:val="26"/>
                <w:szCs w:val="26"/>
              </w:rPr>
            </w:pPr>
            <w:r w:rsidRPr="00C46C87">
              <w:rPr>
                <w:b/>
                <w:bCs/>
                <w:sz w:val="26"/>
                <w:szCs w:val="26"/>
              </w:rPr>
              <w:t>Наименование</w:t>
            </w:r>
          </w:p>
          <w:p w:rsidR="002C56D9" w:rsidRPr="00C46C87" w:rsidRDefault="002C56D9" w:rsidP="00825720">
            <w:pPr>
              <w:ind w:firstLine="709"/>
              <w:jc w:val="center"/>
              <w:rPr>
                <w:b/>
                <w:bCs/>
                <w:sz w:val="26"/>
                <w:szCs w:val="26"/>
              </w:rPr>
            </w:pPr>
            <w:r w:rsidRPr="00C46C87">
              <w:rPr>
                <w:b/>
                <w:bCs/>
                <w:sz w:val="26"/>
                <w:szCs w:val="26"/>
              </w:rPr>
              <w:t>Технические характеристики товара. Несоответствия.</w:t>
            </w:r>
          </w:p>
          <w:p w:rsidR="002C56D9" w:rsidRPr="00C46C87" w:rsidRDefault="002C56D9" w:rsidP="00825720">
            <w:pPr>
              <w:ind w:firstLine="709"/>
              <w:jc w:val="center"/>
              <w:rPr>
                <w:b/>
                <w:bCs/>
                <w:sz w:val="26"/>
                <w:szCs w:val="26"/>
              </w:rPr>
            </w:pPr>
            <w:r w:rsidRPr="00C46C87">
              <w:rPr>
                <w:b/>
                <w:bCs/>
                <w:sz w:val="26"/>
                <w:szCs w:val="26"/>
              </w:rPr>
              <w:t>(Предложение Участника размещения заказа)</w:t>
            </w:r>
          </w:p>
        </w:tc>
      </w:tr>
      <w:tr w:rsidR="002C56D9" w:rsidRPr="00C46C87">
        <w:trPr>
          <w:trHeight w:val="20"/>
        </w:trPr>
        <w:tc>
          <w:tcPr>
            <w:tcW w:w="473" w:type="pct"/>
            <w:vAlign w:val="center"/>
          </w:tcPr>
          <w:p w:rsidR="002C56D9" w:rsidRPr="00C46C87" w:rsidRDefault="002C56D9" w:rsidP="00C46C87">
            <w:pPr>
              <w:ind w:firstLine="709"/>
              <w:jc w:val="center"/>
              <w:rPr>
                <w:sz w:val="26"/>
                <w:szCs w:val="26"/>
              </w:rPr>
            </w:pPr>
            <w:r w:rsidRPr="00C46C87">
              <w:rPr>
                <w:sz w:val="26"/>
                <w:szCs w:val="26"/>
              </w:rPr>
              <w:t>1</w:t>
            </w:r>
          </w:p>
        </w:tc>
        <w:tc>
          <w:tcPr>
            <w:tcW w:w="2097" w:type="pct"/>
          </w:tcPr>
          <w:p w:rsidR="002C56D9" w:rsidRPr="00C46C87" w:rsidRDefault="002C56D9" w:rsidP="00C46C87">
            <w:pPr>
              <w:ind w:firstLine="709"/>
              <w:rPr>
                <w:b/>
                <w:bCs/>
                <w:sz w:val="26"/>
                <w:szCs w:val="26"/>
              </w:rPr>
            </w:pPr>
            <w:r w:rsidRPr="00C46C87">
              <w:rPr>
                <w:b/>
                <w:bCs/>
                <w:color w:val="000000"/>
                <w:sz w:val="26"/>
                <w:szCs w:val="26"/>
              </w:rPr>
              <w:t>Дилюент</w:t>
            </w:r>
          </w:p>
          <w:p w:rsidR="002C56D9" w:rsidRPr="00C46C87" w:rsidRDefault="002C56D9" w:rsidP="00C46C87">
            <w:pPr>
              <w:ind w:firstLine="709"/>
              <w:rPr>
                <w:sz w:val="26"/>
                <w:szCs w:val="26"/>
              </w:rPr>
            </w:pPr>
            <w:r w:rsidRPr="00C46C87">
              <w:rPr>
                <w:sz w:val="26"/>
                <w:szCs w:val="26"/>
              </w:rPr>
              <w:t xml:space="preserve">Готовый к использованию дилюент для анализа крови методом электронного импеданса и фотоэлектрического анализа цельной крови состава: Хлорид натрия - 0.64% Борная кислота - 0.10% Тетраборат натрия - 0.02% EDTA-2K - 0.02%. 1уп./20л  </w:t>
            </w:r>
            <w:r w:rsidRPr="00C46C87">
              <w:rPr>
                <w:b/>
                <w:bCs/>
                <w:sz w:val="26"/>
                <w:szCs w:val="26"/>
              </w:rPr>
              <w:t xml:space="preserve">Совместимость с гем. анализатором </w:t>
            </w:r>
            <w:r w:rsidRPr="00C46C87">
              <w:rPr>
                <w:b/>
                <w:bCs/>
                <w:sz w:val="26"/>
                <w:szCs w:val="26"/>
                <w:lang w:val="en-US"/>
              </w:rPr>
              <w:t>Sysmex</w:t>
            </w:r>
            <w:r w:rsidRPr="00C46C87">
              <w:rPr>
                <w:b/>
                <w:bCs/>
                <w:sz w:val="26"/>
                <w:szCs w:val="26"/>
              </w:rPr>
              <w:t xml:space="preserve"> </w:t>
            </w:r>
            <w:r w:rsidRPr="00C46C87">
              <w:rPr>
                <w:b/>
                <w:bCs/>
                <w:sz w:val="26"/>
                <w:szCs w:val="26"/>
                <w:lang w:val="en-US"/>
              </w:rPr>
              <w:t>KX</w:t>
            </w:r>
            <w:r w:rsidRPr="00C46C87">
              <w:rPr>
                <w:b/>
                <w:bCs/>
                <w:sz w:val="26"/>
                <w:szCs w:val="26"/>
              </w:rPr>
              <w:t>-21, а так же  быть совместимы с такими же расходными материалами, имеющимися у Заказчика</w:t>
            </w:r>
            <w:r w:rsidRPr="00C46C87">
              <w:rPr>
                <w:sz w:val="26"/>
                <w:szCs w:val="26"/>
              </w:rPr>
              <w:t xml:space="preserve"> и в процессе замены не должны нарушать технологический процесс в течение рабочего дня.</w:t>
            </w:r>
          </w:p>
        </w:tc>
        <w:tc>
          <w:tcPr>
            <w:tcW w:w="2430" w:type="pct"/>
            <w:vAlign w:val="center"/>
          </w:tcPr>
          <w:p w:rsidR="002C56D9" w:rsidRPr="00C46C87" w:rsidRDefault="002C56D9" w:rsidP="00C46C87">
            <w:pPr>
              <w:ind w:firstLine="709"/>
              <w:rPr>
                <w:b/>
                <w:bCs/>
                <w:sz w:val="26"/>
                <w:szCs w:val="26"/>
              </w:rPr>
            </w:pPr>
            <w:r w:rsidRPr="00C46C87">
              <w:rPr>
                <w:b/>
                <w:bCs/>
                <w:sz w:val="26"/>
                <w:szCs w:val="26"/>
              </w:rPr>
              <w:t>Diaton-SYS Diluent</w:t>
            </w:r>
            <w:r w:rsidRPr="00C46C87">
              <w:rPr>
                <w:b/>
                <w:bCs/>
                <w:sz w:val="26"/>
                <w:szCs w:val="26"/>
              </w:rPr>
              <w:br/>
              <w:t>Диатон-СИС-Дилюент</w:t>
            </w:r>
            <w:r w:rsidRPr="00C46C87">
              <w:rPr>
                <w:b/>
                <w:bCs/>
                <w:sz w:val="26"/>
                <w:szCs w:val="26"/>
              </w:rPr>
              <w:br/>
              <w:t xml:space="preserve"> Кат. № h23101  Производитель: «Диагон Кфт.», Венгрия</w:t>
            </w:r>
          </w:p>
          <w:p w:rsidR="002C56D9" w:rsidRPr="00C46C87" w:rsidRDefault="002C56D9" w:rsidP="00C46C87">
            <w:pPr>
              <w:ind w:firstLine="709"/>
              <w:rPr>
                <w:color w:val="000000"/>
                <w:sz w:val="26"/>
                <w:szCs w:val="26"/>
              </w:rPr>
            </w:pPr>
            <w:r w:rsidRPr="00C46C87">
              <w:rPr>
                <w:color w:val="000000"/>
                <w:sz w:val="26"/>
                <w:szCs w:val="26"/>
              </w:rPr>
              <w:t xml:space="preserve">Готовый к использованию дилюент для анализа крови методом электронного импеданса и фотоэлектрического анализа цельной крови состава: Хлорид натрия - 0.64% Борная кислота - 0.10% Тетраборат натрия - 0.02% EDTA-2K - 0.02%. 1уп./20л  </w:t>
            </w:r>
            <w:r w:rsidRPr="00C46C87">
              <w:rPr>
                <w:b/>
                <w:bCs/>
                <w:color w:val="000000"/>
                <w:sz w:val="26"/>
                <w:szCs w:val="26"/>
              </w:rPr>
              <w:t>Совместимость с гем. анализатором Sysmex KX-21, а так же   совместим с такими же расходными материалами, имеющимися у Заказчика</w:t>
            </w:r>
            <w:r w:rsidRPr="00C46C87">
              <w:rPr>
                <w:color w:val="000000"/>
                <w:sz w:val="26"/>
                <w:szCs w:val="26"/>
              </w:rPr>
              <w:t xml:space="preserve"> и в процессе замены не  нарушит технологический процесс в течение рабочего дня.</w:t>
            </w:r>
          </w:p>
        </w:tc>
      </w:tr>
      <w:tr w:rsidR="002C56D9" w:rsidRPr="00C46C87">
        <w:trPr>
          <w:trHeight w:val="20"/>
        </w:trPr>
        <w:tc>
          <w:tcPr>
            <w:tcW w:w="473" w:type="pct"/>
            <w:vAlign w:val="center"/>
          </w:tcPr>
          <w:p w:rsidR="002C56D9" w:rsidRPr="00C46C87" w:rsidRDefault="002C56D9" w:rsidP="00C46C87">
            <w:pPr>
              <w:ind w:firstLine="709"/>
              <w:jc w:val="center"/>
              <w:rPr>
                <w:sz w:val="26"/>
                <w:szCs w:val="26"/>
              </w:rPr>
            </w:pPr>
            <w:r w:rsidRPr="00C46C87">
              <w:rPr>
                <w:sz w:val="26"/>
                <w:szCs w:val="26"/>
              </w:rPr>
              <w:t>2</w:t>
            </w:r>
          </w:p>
        </w:tc>
        <w:tc>
          <w:tcPr>
            <w:tcW w:w="2097" w:type="pct"/>
          </w:tcPr>
          <w:p w:rsidR="002C56D9" w:rsidRPr="00C46C87" w:rsidRDefault="002C56D9" w:rsidP="00C46C87">
            <w:pPr>
              <w:ind w:firstLine="709"/>
              <w:rPr>
                <w:b/>
                <w:bCs/>
                <w:sz w:val="26"/>
                <w:szCs w:val="26"/>
              </w:rPr>
            </w:pPr>
            <w:r w:rsidRPr="00C46C87">
              <w:rPr>
                <w:b/>
                <w:bCs/>
                <w:color w:val="000000"/>
                <w:sz w:val="26"/>
                <w:szCs w:val="26"/>
              </w:rPr>
              <w:t>Лизирующий реагент, 3х500 мл</w:t>
            </w:r>
          </w:p>
          <w:p w:rsidR="002C56D9" w:rsidRPr="00C46C87" w:rsidRDefault="002C56D9" w:rsidP="00C46C87">
            <w:pPr>
              <w:ind w:firstLine="709"/>
              <w:rPr>
                <w:sz w:val="26"/>
                <w:szCs w:val="26"/>
              </w:rPr>
            </w:pPr>
            <w:r w:rsidRPr="00C46C87">
              <w:rPr>
                <w:sz w:val="26"/>
                <w:szCs w:val="26"/>
              </w:rPr>
              <w:t xml:space="preserve">Лизирующий реагент для эритроцитов, подсчета и дифференцировки лейкоцитов, определения концентрации гемоглобина в в составе: Неионный сурфактант (0,4-0,65%), органическая четвертичная соль аммония (R4NX) -0,1%, Упаковка 3х500 мл. </w:t>
            </w:r>
            <w:r w:rsidRPr="00C46C87">
              <w:rPr>
                <w:b/>
                <w:bCs/>
                <w:sz w:val="26"/>
                <w:szCs w:val="26"/>
              </w:rPr>
              <w:t>Совместимость с гем. анализатором Sysmex KX-21, а так же  быть совместимы с такими же расходными материалами, имеющимися у Заказчика</w:t>
            </w:r>
            <w:r w:rsidRPr="00C46C87">
              <w:rPr>
                <w:sz w:val="26"/>
                <w:szCs w:val="26"/>
              </w:rPr>
              <w:t xml:space="preserve"> и в процессе замены не должны нарушать технологический процесс в течение рабочего дня.</w:t>
            </w:r>
          </w:p>
        </w:tc>
        <w:tc>
          <w:tcPr>
            <w:tcW w:w="2430" w:type="pct"/>
            <w:vAlign w:val="center"/>
          </w:tcPr>
          <w:p w:rsidR="002C56D9" w:rsidRPr="00C46C87" w:rsidRDefault="002C56D9" w:rsidP="00C46C87">
            <w:pPr>
              <w:ind w:firstLine="709"/>
              <w:rPr>
                <w:b/>
                <w:bCs/>
                <w:sz w:val="26"/>
                <w:szCs w:val="26"/>
              </w:rPr>
            </w:pPr>
            <w:r w:rsidRPr="00C46C87">
              <w:rPr>
                <w:b/>
                <w:bCs/>
                <w:sz w:val="26"/>
                <w:szCs w:val="26"/>
                <w:lang w:val="en-US"/>
              </w:rPr>
              <w:t>Diastromlyser-SYS-WH, 3 x 500 ml.</w:t>
            </w:r>
            <w:r w:rsidRPr="00C46C87">
              <w:rPr>
                <w:b/>
                <w:bCs/>
                <w:sz w:val="26"/>
                <w:szCs w:val="26"/>
                <w:lang w:val="en-US"/>
              </w:rPr>
              <w:br/>
            </w:r>
            <w:r w:rsidRPr="00C46C87">
              <w:rPr>
                <w:b/>
                <w:bCs/>
                <w:sz w:val="26"/>
                <w:szCs w:val="26"/>
              </w:rPr>
              <w:t>Диастромлайзер-СИС-Вэйч, 3 x 500 мл.,</w:t>
            </w:r>
            <w:r w:rsidRPr="00C46C87">
              <w:rPr>
                <w:b/>
                <w:bCs/>
                <w:sz w:val="26"/>
                <w:szCs w:val="26"/>
              </w:rPr>
              <w:br/>
              <w:t>Лизирующий раствор</w:t>
            </w:r>
            <w:r w:rsidRPr="00C46C87">
              <w:rPr>
                <w:b/>
                <w:bCs/>
                <w:sz w:val="26"/>
                <w:szCs w:val="26"/>
              </w:rPr>
              <w:br/>
              <w:t xml:space="preserve"> Кат. № h23401-S   Производитель: «Диагон Кфт.», Венгрия</w:t>
            </w:r>
          </w:p>
          <w:p w:rsidR="002C56D9" w:rsidRPr="00C46C87" w:rsidRDefault="002C56D9" w:rsidP="00C46C87">
            <w:pPr>
              <w:ind w:firstLine="709"/>
              <w:rPr>
                <w:color w:val="000000"/>
                <w:sz w:val="26"/>
                <w:szCs w:val="26"/>
              </w:rPr>
            </w:pPr>
            <w:r w:rsidRPr="00C46C87">
              <w:rPr>
                <w:color w:val="000000"/>
                <w:sz w:val="26"/>
                <w:szCs w:val="26"/>
              </w:rPr>
              <w:t xml:space="preserve">Лизирующий реагент для эритроцитов, подсчета и дифференцировки лейкоцитов, определения концентрации гемоглобина в в составе: Неионный сурфактант (0,4-0,65%), органическая четвертичная соль аммония (R4NX) -0,1%, Упаковка 3х500 мл. </w:t>
            </w:r>
            <w:r w:rsidRPr="00C46C87">
              <w:rPr>
                <w:b/>
                <w:bCs/>
                <w:color w:val="000000"/>
                <w:sz w:val="26"/>
                <w:szCs w:val="26"/>
              </w:rPr>
              <w:t>Совместимость с гем. анализатором Sysmex KX-21, а так же   совместим с такими же расходными материалами, имеющимися у Заказчика</w:t>
            </w:r>
            <w:r w:rsidRPr="00C46C87">
              <w:rPr>
                <w:color w:val="000000"/>
                <w:sz w:val="26"/>
                <w:szCs w:val="26"/>
              </w:rPr>
              <w:t xml:space="preserve"> и в процессе замены не  нарушит технологический процесс в течение рабочего дня.</w:t>
            </w:r>
          </w:p>
        </w:tc>
      </w:tr>
    </w:tbl>
    <w:p w:rsidR="002C56D9" w:rsidRDefault="002C56D9" w:rsidP="00C46C87">
      <w:pPr>
        <w:autoSpaceDE w:val="0"/>
        <w:autoSpaceDN w:val="0"/>
        <w:adjustRightInd w:val="0"/>
        <w:ind w:firstLine="709"/>
        <w:jc w:val="both"/>
        <w:rPr>
          <w:sz w:val="26"/>
          <w:szCs w:val="26"/>
        </w:rPr>
      </w:pPr>
    </w:p>
    <w:p w:rsidR="002C56D9" w:rsidRDefault="002C56D9" w:rsidP="00DE37F2">
      <w:pPr>
        <w:autoSpaceDE w:val="0"/>
        <w:autoSpaceDN w:val="0"/>
        <w:adjustRightInd w:val="0"/>
        <w:ind w:firstLine="709"/>
        <w:jc w:val="both"/>
        <w:rPr>
          <w:sz w:val="26"/>
          <w:szCs w:val="26"/>
        </w:rPr>
      </w:pPr>
      <w:r>
        <w:rPr>
          <w:sz w:val="26"/>
          <w:szCs w:val="26"/>
        </w:rPr>
        <w:t xml:space="preserve">Таким образом, в соответствии с подпунктом «б» пункта 1 части 4 статьи 41.8 Закона о размещении заказов конкретные показатели соответствуют значениям, установленным документацией об открытом аукционе в электронной форме (подпункт «б» пункта 3.2.2.1 раздела 1.2, пункт 3.2.2 раздела 1.3). </w:t>
      </w:r>
    </w:p>
    <w:p w:rsidR="002C56D9" w:rsidRDefault="002C56D9" w:rsidP="00DE37F2">
      <w:pPr>
        <w:autoSpaceDE w:val="0"/>
        <w:autoSpaceDN w:val="0"/>
        <w:adjustRightInd w:val="0"/>
        <w:ind w:firstLine="709"/>
        <w:jc w:val="both"/>
        <w:rPr>
          <w:sz w:val="26"/>
          <w:szCs w:val="26"/>
        </w:rPr>
      </w:pPr>
      <w:r w:rsidRPr="00DE37F2">
        <w:rPr>
          <w:sz w:val="26"/>
          <w:szCs w:val="26"/>
        </w:rPr>
        <w:t>В объяснениях Заказчика указано</w:t>
      </w:r>
      <w:r>
        <w:rPr>
          <w:sz w:val="26"/>
          <w:szCs w:val="26"/>
        </w:rPr>
        <w:t xml:space="preserve">: «в соответствии с частью </w:t>
      </w:r>
      <w:r>
        <w:rPr>
          <w:sz w:val="26"/>
          <w:szCs w:val="26"/>
          <w:lang w:val="en-US"/>
        </w:rPr>
        <w:t>III</w:t>
      </w:r>
      <w:r>
        <w:rPr>
          <w:sz w:val="26"/>
          <w:szCs w:val="26"/>
        </w:rPr>
        <w:t xml:space="preserve"> «Техническая часть» документации об аукционе на поставку реагентов для гематологических анализаторов в примечании содержится требование: В случае, если документация об аукционе содержит указания на товарные знаки, то по общему правилу подразумевается, что такие указания сопровождаются словами «или эквивалент». Эквивалент должен быть рекомендованным заводом-изготовителем для гематологического анализатора </w:t>
      </w:r>
      <w:r w:rsidRPr="00DE37F2">
        <w:rPr>
          <w:sz w:val="26"/>
          <w:szCs w:val="26"/>
          <w:lang w:val="en-US"/>
        </w:rPr>
        <w:t>Sysmex</w:t>
      </w:r>
      <w:r>
        <w:rPr>
          <w:sz w:val="26"/>
          <w:szCs w:val="26"/>
        </w:rPr>
        <w:t xml:space="preserve">. Совместимость расходных материалов с продукцией компании </w:t>
      </w:r>
      <w:r w:rsidRPr="00DE37F2">
        <w:rPr>
          <w:sz w:val="26"/>
          <w:szCs w:val="26"/>
          <w:lang w:val="en-US"/>
        </w:rPr>
        <w:t>Sysmex</w:t>
      </w:r>
      <w:r>
        <w:rPr>
          <w:sz w:val="26"/>
          <w:szCs w:val="26"/>
        </w:rPr>
        <w:t xml:space="preserve"> может быть определена лишь производителем». </w:t>
      </w:r>
    </w:p>
    <w:p w:rsidR="002C56D9" w:rsidRDefault="002C56D9" w:rsidP="006D2354">
      <w:pPr>
        <w:autoSpaceDE w:val="0"/>
        <w:autoSpaceDN w:val="0"/>
        <w:adjustRightInd w:val="0"/>
        <w:ind w:firstLine="709"/>
        <w:jc w:val="both"/>
        <w:rPr>
          <w:sz w:val="26"/>
          <w:szCs w:val="26"/>
        </w:rPr>
      </w:pPr>
      <w:r>
        <w:rPr>
          <w:sz w:val="26"/>
          <w:szCs w:val="26"/>
        </w:rPr>
        <w:t xml:space="preserve">В соответствии со статьей 38 Федерального закона 21.11.2011 N 323-ФЗ «Об основах охраны здоровья граждан в Российской Федерации» (далее по тексту – Закон № 323-ФЗ)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 На основании части 3 статьи 38 Закона № 323-ФЗ обращение медицинских изделий включает в себя технические испытания, токсикологические исследования, клинические испытания, </w:t>
      </w:r>
      <w:hyperlink r:id="rId12" w:history="1">
        <w:r>
          <w:rPr>
            <w:color w:val="0000FF"/>
            <w:sz w:val="26"/>
            <w:szCs w:val="26"/>
          </w:rPr>
          <w:t>экспертизу</w:t>
        </w:r>
      </w:hyperlink>
      <w:r>
        <w:rPr>
          <w:sz w:val="26"/>
          <w:szCs w:val="26"/>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C56D9" w:rsidRDefault="002C56D9" w:rsidP="006D2354">
      <w:pPr>
        <w:autoSpaceDE w:val="0"/>
        <w:autoSpaceDN w:val="0"/>
        <w:adjustRightInd w:val="0"/>
        <w:ind w:firstLine="709"/>
        <w:jc w:val="both"/>
        <w:rPr>
          <w:sz w:val="26"/>
          <w:szCs w:val="26"/>
        </w:rPr>
      </w:pPr>
      <w:r>
        <w:rPr>
          <w:sz w:val="26"/>
          <w:szCs w:val="26"/>
        </w:rPr>
        <w:t xml:space="preserve">На рассмотрение Комиссии было представлено регистрационное удостоверение № ФСЗ 2007/00713 от 03 декабря 2007 года, которое подтверждает, что изделие медицинского назначения реагенты </w:t>
      </w:r>
      <w:r>
        <w:rPr>
          <w:sz w:val="26"/>
          <w:szCs w:val="26"/>
          <w:lang w:val="en-US"/>
        </w:rPr>
        <w:t>in</w:t>
      </w:r>
      <w:r w:rsidRPr="0034404C">
        <w:rPr>
          <w:sz w:val="26"/>
          <w:szCs w:val="26"/>
        </w:rPr>
        <w:t xml:space="preserve"> </w:t>
      </w:r>
      <w:r>
        <w:rPr>
          <w:sz w:val="26"/>
          <w:szCs w:val="26"/>
          <w:lang w:val="en-US"/>
        </w:rPr>
        <w:t>vitro</w:t>
      </w:r>
      <w:r>
        <w:rPr>
          <w:sz w:val="26"/>
          <w:szCs w:val="26"/>
        </w:rPr>
        <w:t xml:space="preserve"> для гематологических анализаторов производства «Диагон Кфт.», Венгрия, разрешено к импорту, продаже и применению на территории Российской Федерации. По смыслу статьи 38 Закона № 323-ФЗ в целях государственной регистрации медицинских изделий в </w:t>
      </w:r>
      <w:hyperlink r:id="rId13" w:history="1">
        <w:r w:rsidRPr="008A0623">
          <w:rPr>
            <w:sz w:val="26"/>
            <w:szCs w:val="26"/>
          </w:rPr>
          <w:t>порядке</w:t>
        </w:r>
      </w:hyperlink>
      <w:r w:rsidRPr="008A0623">
        <w:rPr>
          <w:sz w:val="26"/>
          <w:szCs w:val="26"/>
        </w:rPr>
        <w:t>,</w:t>
      </w:r>
      <w:r>
        <w:rPr>
          <w:sz w:val="26"/>
          <w:szCs w:val="26"/>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w:t>
      </w:r>
    </w:p>
    <w:p w:rsidR="002C56D9" w:rsidRDefault="002C56D9" w:rsidP="006D2354">
      <w:pPr>
        <w:autoSpaceDE w:val="0"/>
        <w:autoSpaceDN w:val="0"/>
        <w:adjustRightInd w:val="0"/>
        <w:ind w:firstLine="709"/>
        <w:jc w:val="both"/>
        <w:rPr>
          <w:sz w:val="26"/>
          <w:szCs w:val="26"/>
        </w:rPr>
      </w:pPr>
      <w:r>
        <w:rPr>
          <w:sz w:val="26"/>
          <w:szCs w:val="26"/>
        </w:rPr>
        <w:t xml:space="preserve">Также в материалах дела имеется гарантия соответствия компании-производителя реагентов «Диагон Кфт.», Венгрия, которым данная компания подтверждает, что реагенты их производства предназначены для работы на гематологических анализаторах </w:t>
      </w:r>
      <w:r w:rsidRPr="00DE37F2">
        <w:rPr>
          <w:sz w:val="26"/>
          <w:szCs w:val="26"/>
          <w:lang w:val="en-US"/>
        </w:rPr>
        <w:t>Sysmex</w:t>
      </w:r>
      <w:r>
        <w:rPr>
          <w:sz w:val="26"/>
          <w:szCs w:val="26"/>
        </w:rPr>
        <w:t xml:space="preserve"> КХ-21, КХ-21</w:t>
      </w:r>
      <w:r>
        <w:rPr>
          <w:sz w:val="26"/>
          <w:szCs w:val="26"/>
          <w:lang w:val="en-US"/>
        </w:rPr>
        <w:t>N</w:t>
      </w:r>
      <w:r>
        <w:rPr>
          <w:sz w:val="26"/>
          <w:szCs w:val="26"/>
        </w:rPr>
        <w:t xml:space="preserve">, за подписью руководителя компании «Диагон Кфт.» Др. Ай Габриелла. </w:t>
      </w:r>
    </w:p>
    <w:p w:rsidR="002C56D9" w:rsidRDefault="002C56D9" w:rsidP="006D2354">
      <w:pPr>
        <w:autoSpaceDE w:val="0"/>
        <w:autoSpaceDN w:val="0"/>
        <w:adjustRightInd w:val="0"/>
        <w:ind w:firstLine="709"/>
        <w:jc w:val="both"/>
        <w:rPr>
          <w:sz w:val="26"/>
          <w:szCs w:val="26"/>
        </w:rPr>
      </w:pPr>
      <w:r>
        <w:rPr>
          <w:sz w:val="26"/>
          <w:szCs w:val="26"/>
        </w:rPr>
        <w:t xml:space="preserve">Таким образом, Заявитель подтверждает, что реагенты производства компании «Диагон Кфт.» разрешены к применению на территории Российской Федерации и совместимы с гематологическими анализаторами </w:t>
      </w:r>
      <w:r w:rsidRPr="00DE37F2">
        <w:rPr>
          <w:sz w:val="26"/>
          <w:szCs w:val="26"/>
          <w:lang w:val="en-US"/>
        </w:rPr>
        <w:t>Sysmex</w:t>
      </w:r>
      <w:r>
        <w:rPr>
          <w:sz w:val="26"/>
          <w:szCs w:val="26"/>
        </w:rPr>
        <w:t xml:space="preserve"> КХ-21, КХ-21</w:t>
      </w:r>
      <w:r>
        <w:rPr>
          <w:sz w:val="26"/>
          <w:szCs w:val="26"/>
          <w:lang w:val="en-US"/>
        </w:rPr>
        <w:t>N</w:t>
      </w:r>
      <w:r>
        <w:rPr>
          <w:sz w:val="26"/>
          <w:szCs w:val="26"/>
        </w:rPr>
        <w:t xml:space="preserve">, что и являлось требованием Заказчика, установленным в аукционной документации. </w:t>
      </w:r>
    </w:p>
    <w:p w:rsidR="002C56D9" w:rsidRDefault="002C56D9" w:rsidP="006D2354">
      <w:pPr>
        <w:autoSpaceDE w:val="0"/>
        <w:autoSpaceDN w:val="0"/>
        <w:adjustRightInd w:val="0"/>
        <w:ind w:firstLine="709"/>
        <w:jc w:val="both"/>
        <w:rPr>
          <w:sz w:val="26"/>
          <w:szCs w:val="26"/>
        </w:rPr>
      </w:pPr>
      <w:r>
        <w:rPr>
          <w:sz w:val="26"/>
          <w:szCs w:val="26"/>
        </w:rPr>
        <w:t xml:space="preserve">На рассмотрение Комиссии Заказчиком было представлено письмо от 04.10.2013 г., адресованное неопределенному кругу лиц, в котором дочерняя компания концерна </w:t>
      </w:r>
      <w:r>
        <w:rPr>
          <w:sz w:val="26"/>
          <w:szCs w:val="26"/>
          <w:lang w:val="en-US"/>
        </w:rPr>
        <w:t>SYSMEX</w:t>
      </w:r>
      <w:r w:rsidRPr="008A0623">
        <w:rPr>
          <w:sz w:val="26"/>
          <w:szCs w:val="26"/>
        </w:rPr>
        <w:t xml:space="preserve"> </w:t>
      </w:r>
      <w:r>
        <w:rPr>
          <w:sz w:val="26"/>
          <w:szCs w:val="26"/>
          <w:lang w:val="en-US"/>
        </w:rPr>
        <w:t>CORPORATION</w:t>
      </w:r>
      <w:r w:rsidRPr="008A0623">
        <w:rPr>
          <w:sz w:val="26"/>
          <w:szCs w:val="26"/>
        </w:rPr>
        <w:t xml:space="preserve"> </w:t>
      </w:r>
      <w:r>
        <w:rPr>
          <w:sz w:val="26"/>
          <w:szCs w:val="26"/>
        </w:rPr>
        <w:t xml:space="preserve">– производителя гематологических анализаторов, ООО «Сисмекс Рус» заявляет, что использование реагентов других производителей на гематологических анализаторах </w:t>
      </w:r>
      <w:r>
        <w:rPr>
          <w:sz w:val="26"/>
          <w:szCs w:val="26"/>
          <w:lang w:val="en-US"/>
        </w:rPr>
        <w:t>KX</w:t>
      </w:r>
      <w:r w:rsidRPr="008A0623">
        <w:rPr>
          <w:sz w:val="26"/>
          <w:szCs w:val="26"/>
        </w:rPr>
        <w:t>-21</w:t>
      </w:r>
      <w:r>
        <w:rPr>
          <w:sz w:val="26"/>
          <w:szCs w:val="26"/>
          <w:lang w:val="en-US"/>
        </w:rPr>
        <w:t>N</w:t>
      </w:r>
      <w:r w:rsidRPr="008A0623">
        <w:rPr>
          <w:sz w:val="26"/>
          <w:szCs w:val="26"/>
        </w:rPr>
        <w:t xml:space="preserve">, </w:t>
      </w:r>
      <w:r>
        <w:rPr>
          <w:sz w:val="26"/>
          <w:szCs w:val="26"/>
          <w:lang w:val="en-US"/>
        </w:rPr>
        <w:t>XS</w:t>
      </w:r>
      <w:r w:rsidRPr="008A0623">
        <w:rPr>
          <w:sz w:val="26"/>
          <w:szCs w:val="26"/>
        </w:rPr>
        <w:t>-800</w:t>
      </w:r>
      <w:r>
        <w:rPr>
          <w:sz w:val="26"/>
          <w:szCs w:val="26"/>
          <w:lang w:val="en-US"/>
        </w:rPr>
        <w:t>i</w:t>
      </w:r>
      <w:r w:rsidRPr="008A0623">
        <w:rPr>
          <w:sz w:val="26"/>
          <w:szCs w:val="26"/>
        </w:rPr>
        <w:t>/1000</w:t>
      </w:r>
      <w:r>
        <w:rPr>
          <w:sz w:val="26"/>
          <w:szCs w:val="26"/>
          <w:lang w:val="en-US"/>
        </w:rPr>
        <w:t>i</w:t>
      </w:r>
      <w:r w:rsidRPr="008A0623">
        <w:rPr>
          <w:sz w:val="26"/>
          <w:szCs w:val="26"/>
        </w:rPr>
        <w:t xml:space="preserve">, </w:t>
      </w:r>
      <w:r>
        <w:rPr>
          <w:sz w:val="26"/>
          <w:szCs w:val="26"/>
          <w:lang w:val="en-US"/>
        </w:rPr>
        <w:t>XT</w:t>
      </w:r>
      <w:r w:rsidRPr="00F34C11">
        <w:rPr>
          <w:sz w:val="26"/>
          <w:szCs w:val="26"/>
        </w:rPr>
        <w:t>-1800</w:t>
      </w:r>
      <w:r>
        <w:rPr>
          <w:sz w:val="26"/>
          <w:szCs w:val="26"/>
          <w:lang w:val="en-US"/>
        </w:rPr>
        <w:t>i</w:t>
      </w:r>
      <w:r w:rsidRPr="00F34C11">
        <w:rPr>
          <w:sz w:val="26"/>
          <w:szCs w:val="26"/>
        </w:rPr>
        <w:t>/2000</w:t>
      </w:r>
      <w:r>
        <w:rPr>
          <w:sz w:val="26"/>
          <w:szCs w:val="26"/>
          <w:lang w:val="en-US"/>
        </w:rPr>
        <w:t>i</w:t>
      </w:r>
      <w:r w:rsidRPr="00F34C11">
        <w:rPr>
          <w:sz w:val="26"/>
          <w:szCs w:val="26"/>
        </w:rPr>
        <w:t>/4000</w:t>
      </w:r>
      <w:r>
        <w:rPr>
          <w:sz w:val="26"/>
          <w:szCs w:val="26"/>
          <w:lang w:val="en-US"/>
        </w:rPr>
        <w:t>i</w:t>
      </w:r>
      <w:r w:rsidRPr="00F34C11">
        <w:rPr>
          <w:sz w:val="26"/>
          <w:szCs w:val="26"/>
        </w:rPr>
        <w:t xml:space="preserve">, </w:t>
      </w:r>
      <w:r>
        <w:rPr>
          <w:sz w:val="26"/>
          <w:szCs w:val="26"/>
          <w:lang w:val="en-US"/>
        </w:rPr>
        <w:t>XE</w:t>
      </w:r>
      <w:r w:rsidRPr="00F34C11">
        <w:rPr>
          <w:sz w:val="26"/>
          <w:szCs w:val="26"/>
        </w:rPr>
        <w:t xml:space="preserve">-2100 </w:t>
      </w:r>
      <w:r>
        <w:rPr>
          <w:sz w:val="26"/>
          <w:szCs w:val="26"/>
        </w:rPr>
        <w:t xml:space="preserve">недопустимо. В пояснениях Заказчик, ссылаясь на данное письмо, утверждает, что использование реагентов, не указанных в инструкциях по эксплуатации производителя к анализаторам </w:t>
      </w:r>
      <w:r w:rsidRPr="0068459A">
        <w:rPr>
          <w:b/>
          <w:bCs/>
          <w:sz w:val="26"/>
          <w:szCs w:val="26"/>
          <w:u w:val="single"/>
          <w:lang w:val="en-US"/>
        </w:rPr>
        <w:t>KX</w:t>
      </w:r>
      <w:r w:rsidRPr="0068459A">
        <w:rPr>
          <w:b/>
          <w:bCs/>
          <w:sz w:val="26"/>
          <w:szCs w:val="26"/>
          <w:u w:val="single"/>
        </w:rPr>
        <w:t>-21</w:t>
      </w:r>
      <w:r w:rsidRPr="0068459A">
        <w:rPr>
          <w:b/>
          <w:bCs/>
          <w:sz w:val="26"/>
          <w:szCs w:val="26"/>
          <w:u w:val="single"/>
          <w:lang w:val="en-US"/>
        </w:rPr>
        <w:t>N</w:t>
      </w:r>
      <w:r w:rsidRPr="0068459A">
        <w:rPr>
          <w:b/>
          <w:bCs/>
          <w:sz w:val="26"/>
          <w:szCs w:val="26"/>
          <w:u w:val="single"/>
        </w:rPr>
        <w:t xml:space="preserve">, </w:t>
      </w:r>
      <w:r w:rsidRPr="0068459A">
        <w:rPr>
          <w:b/>
          <w:bCs/>
          <w:sz w:val="26"/>
          <w:szCs w:val="26"/>
          <w:u w:val="single"/>
          <w:lang w:val="en-US"/>
        </w:rPr>
        <w:t>XS</w:t>
      </w:r>
      <w:r w:rsidRPr="0068459A">
        <w:rPr>
          <w:b/>
          <w:bCs/>
          <w:sz w:val="26"/>
          <w:szCs w:val="26"/>
          <w:u w:val="single"/>
        </w:rPr>
        <w:t>-800</w:t>
      </w:r>
      <w:r w:rsidRPr="0068459A">
        <w:rPr>
          <w:b/>
          <w:bCs/>
          <w:sz w:val="26"/>
          <w:szCs w:val="26"/>
          <w:u w:val="single"/>
          <w:lang w:val="en-US"/>
        </w:rPr>
        <w:t>i</w:t>
      </w:r>
      <w:r w:rsidRPr="0068459A">
        <w:rPr>
          <w:b/>
          <w:bCs/>
          <w:sz w:val="26"/>
          <w:szCs w:val="26"/>
          <w:u w:val="single"/>
        </w:rPr>
        <w:t>/1000</w:t>
      </w:r>
      <w:r w:rsidRPr="0068459A">
        <w:rPr>
          <w:b/>
          <w:bCs/>
          <w:sz w:val="26"/>
          <w:szCs w:val="26"/>
          <w:u w:val="single"/>
          <w:lang w:val="en-US"/>
        </w:rPr>
        <w:t>i</w:t>
      </w:r>
      <w:r w:rsidRPr="0068459A">
        <w:rPr>
          <w:b/>
          <w:bCs/>
          <w:sz w:val="26"/>
          <w:szCs w:val="26"/>
          <w:u w:val="single"/>
        </w:rPr>
        <w:t xml:space="preserve">, </w:t>
      </w:r>
      <w:r w:rsidRPr="0068459A">
        <w:rPr>
          <w:b/>
          <w:bCs/>
          <w:sz w:val="26"/>
          <w:szCs w:val="26"/>
          <w:u w:val="single"/>
          <w:lang w:val="en-US"/>
        </w:rPr>
        <w:t>XT</w:t>
      </w:r>
      <w:r w:rsidRPr="0068459A">
        <w:rPr>
          <w:b/>
          <w:bCs/>
          <w:sz w:val="26"/>
          <w:szCs w:val="26"/>
          <w:u w:val="single"/>
        </w:rPr>
        <w:t>-1800</w:t>
      </w:r>
      <w:r w:rsidRPr="0068459A">
        <w:rPr>
          <w:b/>
          <w:bCs/>
          <w:sz w:val="26"/>
          <w:szCs w:val="26"/>
          <w:u w:val="single"/>
          <w:lang w:val="en-US"/>
        </w:rPr>
        <w:t>i</w:t>
      </w:r>
      <w:r w:rsidRPr="0068459A">
        <w:rPr>
          <w:b/>
          <w:bCs/>
          <w:sz w:val="26"/>
          <w:szCs w:val="26"/>
          <w:u w:val="single"/>
        </w:rPr>
        <w:t>/2000</w:t>
      </w:r>
      <w:r w:rsidRPr="0068459A">
        <w:rPr>
          <w:b/>
          <w:bCs/>
          <w:sz w:val="26"/>
          <w:szCs w:val="26"/>
          <w:u w:val="single"/>
          <w:lang w:val="en-US"/>
        </w:rPr>
        <w:t>i</w:t>
      </w:r>
      <w:r w:rsidRPr="0068459A">
        <w:rPr>
          <w:b/>
          <w:bCs/>
          <w:sz w:val="26"/>
          <w:szCs w:val="26"/>
          <w:u w:val="single"/>
        </w:rPr>
        <w:t>/4000</w:t>
      </w:r>
      <w:r w:rsidRPr="0068459A">
        <w:rPr>
          <w:b/>
          <w:bCs/>
          <w:sz w:val="26"/>
          <w:szCs w:val="26"/>
          <w:u w:val="single"/>
          <w:lang w:val="en-US"/>
        </w:rPr>
        <w:t>i</w:t>
      </w:r>
      <w:r w:rsidRPr="0068459A">
        <w:rPr>
          <w:b/>
          <w:bCs/>
          <w:sz w:val="26"/>
          <w:szCs w:val="26"/>
          <w:u w:val="single"/>
        </w:rPr>
        <w:t xml:space="preserve">, </w:t>
      </w:r>
      <w:r w:rsidRPr="0068459A">
        <w:rPr>
          <w:b/>
          <w:bCs/>
          <w:sz w:val="26"/>
          <w:szCs w:val="26"/>
          <w:u w:val="single"/>
          <w:lang w:val="en-US"/>
        </w:rPr>
        <w:t>XE</w:t>
      </w:r>
      <w:r w:rsidRPr="0068459A">
        <w:rPr>
          <w:b/>
          <w:bCs/>
          <w:sz w:val="26"/>
          <w:szCs w:val="26"/>
          <w:u w:val="single"/>
        </w:rPr>
        <w:t>-2100</w:t>
      </w:r>
      <w:r>
        <w:rPr>
          <w:sz w:val="26"/>
          <w:szCs w:val="26"/>
        </w:rPr>
        <w:t xml:space="preserve">, может привести к следующим последствиям: </w:t>
      </w:r>
    </w:p>
    <w:p w:rsidR="002C56D9" w:rsidRDefault="002C56D9" w:rsidP="006D2354">
      <w:pPr>
        <w:autoSpaceDE w:val="0"/>
        <w:autoSpaceDN w:val="0"/>
        <w:adjustRightInd w:val="0"/>
        <w:ind w:firstLine="709"/>
        <w:jc w:val="both"/>
        <w:rPr>
          <w:sz w:val="26"/>
          <w:szCs w:val="26"/>
        </w:rPr>
      </w:pPr>
      <w:r>
        <w:rPr>
          <w:sz w:val="26"/>
          <w:szCs w:val="26"/>
        </w:rPr>
        <w:t>- поломке дорогостоящего оборудования (гематологических анализаторов перечисленных выше моделей);</w:t>
      </w:r>
    </w:p>
    <w:p w:rsidR="002C56D9" w:rsidRDefault="002C56D9" w:rsidP="006D2354">
      <w:pPr>
        <w:autoSpaceDE w:val="0"/>
        <w:autoSpaceDN w:val="0"/>
        <w:adjustRightInd w:val="0"/>
        <w:ind w:firstLine="709"/>
        <w:jc w:val="both"/>
        <w:rPr>
          <w:sz w:val="26"/>
          <w:szCs w:val="26"/>
        </w:rPr>
      </w:pPr>
      <w:r>
        <w:rPr>
          <w:sz w:val="26"/>
          <w:szCs w:val="26"/>
        </w:rPr>
        <w:t>- получение недостоверного или ложного результата;</w:t>
      </w:r>
    </w:p>
    <w:p w:rsidR="002C56D9" w:rsidRDefault="002C56D9" w:rsidP="006D2354">
      <w:pPr>
        <w:autoSpaceDE w:val="0"/>
        <w:autoSpaceDN w:val="0"/>
        <w:adjustRightInd w:val="0"/>
        <w:ind w:firstLine="709"/>
        <w:jc w:val="both"/>
        <w:rPr>
          <w:sz w:val="26"/>
          <w:szCs w:val="26"/>
        </w:rPr>
      </w:pPr>
      <w:r>
        <w:rPr>
          <w:sz w:val="26"/>
          <w:szCs w:val="26"/>
        </w:rPr>
        <w:t>- искажение результатов как внутрилабораторного, так и внешнего контроля качества;</w:t>
      </w:r>
    </w:p>
    <w:p w:rsidR="002C56D9" w:rsidRDefault="002C56D9" w:rsidP="006D2354">
      <w:pPr>
        <w:autoSpaceDE w:val="0"/>
        <w:autoSpaceDN w:val="0"/>
        <w:adjustRightInd w:val="0"/>
        <w:ind w:firstLine="709"/>
        <w:jc w:val="both"/>
        <w:rPr>
          <w:sz w:val="26"/>
          <w:szCs w:val="26"/>
        </w:rPr>
      </w:pPr>
      <w:r>
        <w:rPr>
          <w:sz w:val="26"/>
          <w:szCs w:val="26"/>
        </w:rPr>
        <w:t>- сокращение срока службы гематологических анализаторов;</w:t>
      </w:r>
    </w:p>
    <w:p w:rsidR="002C56D9" w:rsidRPr="0068459A" w:rsidRDefault="002C56D9" w:rsidP="006D2354">
      <w:pPr>
        <w:autoSpaceDE w:val="0"/>
        <w:autoSpaceDN w:val="0"/>
        <w:adjustRightInd w:val="0"/>
        <w:ind w:firstLine="709"/>
        <w:jc w:val="both"/>
        <w:rPr>
          <w:sz w:val="26"/>
          <w:szCs w:val="26"/>
        </w:rPr>
      </w:pPr>
      <w:r>
        <w:rPr>
          <w:sz w:val="26"/>
          <w:szCs w:val="26"/>
        </w:rPr>
        <w:t xml:space="preserve">- прекращение гарантийных обязательств </w:t>
      </w:r>
      <w:r>
        <w:rPr>
          <w:sz w:val="26"/>
          <w:szCs w:val="26"/>
          <w:lang w:val="en-US"/>
        </w:rPr>
        <w:t>SYSMEX</w:t>
      </w:r>
      <w:r w:rsidRPr="008A0623">
        <w:rPr>
          <w:sz w:val="26"/>
          <w:szCs w:val="26"/>
        </w:rPr>
        <w:t xml:space="preserve"> </w:t>
      </w:r>
      <w:r>
        <w:rPr>
          <w:sz w:val="26"/>
          <w:szCs w:val="26"/>
          <w:lang w:val="en-US"/>
        </w:rPr>
        <w:t>CORPORATION</w:t>
      </w:r>
      <w:r>
        <w:rPr>
          <w:sz w:val="26"/>
          <w:szCs w:val="26"/>
        </w:rPr>
        <w:t xml:space="preserve">, </w:t>
      </w:r>
    </w:p>
    <w:p w:rsidR="002C56D9" w:rsidRDefault="002C56D9" w:rsidP="0068459A">
      <w:pPr>
        <w:autoSpaceDE w:val="0"/>
        <w:autoSpaceDN w:val="0"/>
        <w:adjustRightInd w:val="0"/>
        <w:jc w:val="both"/>
        <w:rPr>
          <w:sz w:val="26"/>
          <w:szCs w:val="26"/>
        </w:rPr>
      </w:pPr>
      <w:r w:rsidRPr="0068459A">
        <w:rPr>
          <w:sz w:val="26"/>
          <w:szCs w:val="26"/>
        </w:rPr>
        <w:t xml:space="preserve">но, доказательства, подтверждающие данные факты, </w:t>
      </w:r>
      <w:r>
        <w:rPr>
          <w:sz w:val="26"/>
          <w:szCs w:val="26"/>
        </w:rPr>
        <w:t xml:space="preserve">на рассмотрение </w:t>
      </w:r>
      <w:r w:rsidRPr="0068459A">
        <w:rPr>
          <w:sz w:val="26"/>
          <w:szCs w:val="26"/>
        </w:rPr>
        <w:t>представлены не были</w:t>
      </w:r>
      <w:r>
        <w:rPr>
          <w:sz w:val="26"/>
          <w:szCs w:val="26"/>
        </w:rPr>
        <w:t xml:space="preserve">. </w:t>
      </w:r>
    </w:p>
    <w:p w:rsidR="002C56D9" w:rsidRDefault="002C56D9" w:rsidP="00044A26">
      <w:pPr>
        <w:autoSpaceDE w:val="0"/>
        <w:autoSpaceDN w:val="0"/>
        <w:adjustRightInd w:val="0"/>
        <w:ind w:firstLine="709"/>
        <w:jc w:val="both"/>
        <w:rPr>
          <w:sz w:val="26"/>
          <w:szCs w:val="26"/>
        </w:rPr>
      </w:pPr>
      <w:r>
        <w:rPr>
          <w:sz w:val="26"/>
          <w:szCs w:val="26"/>
        </w:rPr>
        <w:t xml:space="preserve">Кроме того, в аукционной документации содержится требование о совместимости реагентов с гематологическим анализатором модели </w:t>
      </w:r>
      <w:r w:rsidRPr="0068459A">
        <w:rPr>
          <w:b/>
          <w:bCs/>
          <w:sz w:val="26"/>
          <w:szCs w:val="26"/>
          <w:u w:val="single"/>
          <w:lang w:val="en-US"/>
        </w:rPr>
        <w:t>Sysmex</w:t>
      </w:r>
      <w:r w:rsidRPr="0068459A">
        <w:rPr>
          <w:b/>
          <w:bCs/>
          <w:sz w:val="26"/>
          <w:szCs w:val="26"/>
          <w:u w:val="single"/>
        </w:rPr>
        <w:t xml:space="preserve"> КХ-21</w:t>
      </w:r>
      <w:r>
        <w:rPr>
          <w:sz w:val="26"/>
          <w:szCs w:val="26"/>
        </w:rPr>
        <w:t xml:space="preserve">, о котором </w:t>
      </w:r>
      <w:r w:rsidRPr="00044A26">
        <w:rPr>
          <w:sz w:val="26"/>
          <w:szCs w:val="26"/>
          <w:u w:val="single"/>
        </w:rPr>
        <w:t>не содержится</w:t>
      </w:r>
      <w:r>
        <w:rPr>
          <w:sz w:val="26"/>
          <w:szCs w:val="26"/>
        </w:rPr>
        <w:t xml:space="preserve"> сведений в письме дочерней компании концерна </w:t>
      </w:r>
      <w:r>
        <w:rPr>
          <w:sz w:val="26"/>
          <w:szCs w:val="26"/>
          <w:lang w:val="en-US"/>
        </w:rPr>
        <w:t>SYSMEX</w:t>
      </w:r>
      <w:r w:rsidRPr="008A0623">
        <w:rPr>
          <w:sz w:val="26"/>
          <w:szCs w:val="26"/>
        </w:rPr>
        <w:t xml:space="preserve"> </w:t>
      </w:r>
      <w:r>
        <w:rPr>
          <w:sz w:val="26"/>
          <w:szCs w:val="26"/>
          <w:lang w:val="en-US"/>
        </w:rPr>
        <w:t>CORPORATION</w:t>
      </w:r>
      <w:r w:rsidRPr="008A0623">
        <w:rPr>
          <w:sz w:val="26"/>
          <w:szCs w:val="26"/>
        </w:rPr>
        <w:t xml:space="preserve"> </w:t>
      </w:r>
      <w:r>
        <w:rPr>
          <w:sz w:val="26"/>
          <w:szCs w:val="26"/>
        </w:rPr>
        <w:t xml:space="preserve">– производителя гематологических анализаторов, ООО «Сисмекс Рус». </w:t>
      </w:r>
    </w:p>
    <w:p w:rsidR="002C56D9" w:rsidRDefault="002C56D9" w:rsidP="00044A26">
      <w:pPr>
        <w:autoSpaceDE w:val="0"/>
        <w:autoSpaceDN w:val="0"/>
        <w:adjustRightInd w:val="0"/>
        <w:ind w:firstLine="708"/>
        <w:jc w:val="both"/>
        <w:rPr>
          <w:sz w:val="26"/>
          <w:szCs w:val="26"/>
        </w:rPr>
      </w:pPr>
      <w:r>
        <w:rPr>
          <w:sz w:val="26"/>
          <w:szCs w:val="26"/>
        </w:rPr>
        <w:t xml:space="preserve">Следовательно, фактов, подтверждающих невозможность применения реагентов производства компании «Диагон Кфт.», Венгрия, для гематологического анализатора </w:t>
      </w:r>
      <w:r w:rsidRPr="00DE37F2">
        <w:rPr>
          <w:sz w:val="26"/>
          <w:szCs w:val="26"/>
          <w:lang w:val="en-US"/>
        </w:rPr>
        <w:t>Sysmex</w:t>
      </w:r>
      <w:r>
        <w:rPr>
          <w:sz w:val="26"/>
          <w:szCs w:val="26"/>
        </w:rPr>
        <w:t xml:space="preserve"> КХ-21 у аукционной Комиссии не имелось. </w:t>
      </w:r>
    </w:p>
    <w:p w:rsidR="002C56D9" w:rsidRDefault="002C56D9" w:rsidP="005965EA">
      <w:pPr>
        <w:autoSpaceDE w:val="0"/>
        <w:autoSpaceDN w:val="0"/>
        <w:adjustRightInd w:val="0"/>
        <w:ind w:firstLine="708"/>
        <w:jc w:val="both"/>
        <w:rPr>
          <w:sz w:val="26"/>
          <w:szCs w:val="26"/>
        </w:rPr>
      </w:pPr>
      <w:r>
        <w:rPr>
          <w:sz w:val="26"/>
          <w:szCs w:val="26"/>
        </w:rPr>
        <w:t xml:space="preserve">На основании подпункта «б» пункта 1 части 4 статьи 41.8 Закона о размещении заказов первая часть заявки на участие в открытом аукционе в электронной форме должна содержать конкретные показатели, соответствующие значениям, установленным документацией об открытом аукционе в электронной форме. </w:t>
      </w:r>
    </w:p>
    <w:p w:rsidR="002C56D9" w:rsidRDefault="002C56D9" w:rsidP="007A3D37">
      <w:pPr>
        <w:autoSpaceDE w:val="0"/>
        <w:autoSpaceDN w:val="0"/>
        <w:adjustRightInd w:val="0"/>
        <w:ind w:firstLine="708"/>
        <w:jc w:val="both"/>
        <w:rPr>
          <w:sz w:val="26"/>
          <w:szCs w:val="26"/>
        </w:rPr>
      </w:pPr>
      <w:r>
        <w:rPr>
          <w:sz w:val="26"/>
          <w:szCs w:val="26"/>
        </w:rPr>
        <w:t xml:space="preserve">Исходя из представленных на рассмотрение Комиссии документов, конкретные показатели предлагаемого Заявителем к поставке реагента для гематологического анализатора производства компании «Диагон Кфт.», Венгрия, полностью соответствуют значениям, установленным документацией об открытом аукционе в электронной форме, что не является основанием для отклонения заявки Заявителя на участие в открытом аукционе в электронной форме. </w:t>
      </w:r>
    </w:p>
    <w:p w:rsidR="002C56D9" w:rsidRDefault="002C56D9" w:rsidP="007A3D37">
      <w:pPr>
        <w:autoSpaceDE w:val="0"/>
        <w:autoSpaceDN w:val="0"/>
        <w:adjustRightInd w:val="0"/>
        <w:ind w:firstLine="708"/>
        <w:jc w:val="both"/>
        <w:rPr>
          <w:sz w:val="26"/>
          <w:szCs w:val="26"/>
        </w:rPr>
      </w:pPr>
      <w:r>
        <w:rPr>
          <w:sz w:val="26"/>
          <w:szCs w:val="26"/>
        </w:rPr>
        <w:t>В силу части 4 статьи 41.9 Закона о размещении заказов Участник размещения заказа не допускается к участию в открытом аукционе в электронной форме в случае:</w:t>
      </w:r>
    </w:p>
    <w:p w:rsidR="002C56D9" w:rsidRDefault="002C56D9" w:rsidP="007A3D37">
      <w:pPr>
        <w:autoSpaceDE w:val="0"/>
        <w:autoSpaceDN w:val="0"/>
        <w:adjustRightInd w:val="0"/>
        <w:ind w:firstLine="708"/>
        <w:jc w:val="both"/>
        <w:rPr>
          <w:sz w:val="26"/>
          <w:szCs w:val="26"/>
        </w:rPr>
      </w:pPr>
      <w:r>
        <w:rPr>
          <w:sz w:val="26"/>
          <w:szCs w:val="26"/>
        </w:rPr>
        <w:t>1) непредоставления сведения, предусмотренных частью 4 статьи 41.8 настоящего Федерального закона, или предоставление недостоверных сведений;</w:t>
      </w:r>
    </w:p>
    <w:p w:rsidR="002C56D9" w:rsidRDefault="002C56D9" w:rsidP="007A3D37">
      <w:pPr>
        <w:autoSpaceDE w:val="0"/>
        <w:autoSpaceDN w:val="0"/>
        <w:adjustRightInd w:val="0"/>
        <w:ind w:firstLine="708"/>
        <w:jc w:val="both"/>
        <w:rPr>
          <w:sz w:val="26"/>
          <w:szCs w:val="26"/>
        </w:rPr>
      </w:pPr>
      <w:r>
        <w:rPr>
          <w:sz w:val="26"/>
          <w:szCs w:val="26"/>
        </w:rPr>
        <w:t>2) несоответствия сведений, предусмотренных частью 4 статьи 41.8 настоящего Федерального закона, требованиям документации об открытом аукционе в электронной форме.</w:t>
      </w:r>
    </w:p>
    <w:p w:rsidR="002C56D9" w:rsidRDefault="002C56D9" w:rsidP="007A3D37">
      <w:pPr>
        <w:autoSpaceDE w:val="0"/>
        <w:autoSpaceDN w:val="0"/>
        <w:adjustRightInd w:val="0"/>
        <w:ind w:firstLine="708"/>
        <w:jc w:val="both"/>
        <w:rPr>
          <w:sz w:val="26"/>
          <w:szCs w:val="26"/>
        </w:rPr>
      </w:pPr>
      <w:r>
        <w:rPr>
          <w:sz w:val="26"/>
          <w:szCs w:val="26"/>
        </w:rPr>
        <w:t>В соответствии с частью 5 статьи 41.9 Закона о размещении заказов отказ в допуске к участию в открытом аукционе в электронной форме по основаниям, не предусмотренным частью 4 статьи 41.9 Закона о размещении заказов, не допускается.</w:t>
      </w:r>
    </w:p>
    <w:p w:rsidR="002C56D9" w:rsidRDefault="002C56D9" w:rsidP="00797492">
      <w:pPr>
        <w:autoSpaceDE w:val="0"/>
        <w:autoSpaceDN w:val="0"/>
        <w:adjustRightInd w:val="0"/>
        <w:ind w:firstLine="708"/>
        <w:jc w:val="both"/>
        <w:rPr>
          <w:sz w:val="26"/>
          <w:szCs w:val="26"/>
        </w:rPr>
      </w:pPr>
      <w:r>
        <w:rPr>
          <w:sz w:val="26"/>
          <w:szCs w:val="26"/>
        </w:rPr>
        <w:t xml:space="preserve">При рассмотрении дела представители Заказчика сообщили, что контракт по данному заказу подписан 09.01.2014 года, так как электронной торговой площадкой Сбербанк – АСТ действия по данному заказу не приостановлены. </w:t>
      </w:r>
    </w:p>
    <w:p w:rsidR="002C56D9" w:rsidRDefault="002C56D9" w:rsidP="007A3D37">
      <w:pPr>
        <w:autoSpaceDE w:val="0"/>
        <w:autoSpaceDN w:val="0"/>
        <w:adjustRightInd w:val="0"/>
        <w:jc w:val="both"/>
        <w:rPr>
          <w:sz w:val="26"/>
          <w:szCs w:val="26"/>
        </w:rPr>
      </w:pPr>
      <w:r>
        <w:rPr>
          <w:sz w:val="26"/>
          <w:szCs w:val="26"/>
        </w:rPr>
        <w:tab/>
        <w:t xml:space="preserve">На основании изложенного и руководствуясь статьей 112 Закона № 44-ФЗ, </w:t>
      </w:r>
      <w:hyperlink r:id="rId14" w:history="1">
        <w:r w:rsidRPr="00E525D8">
          <w:rPr>
            <w:sz w:val="26"/>
            <w:szCs w:val="26"/>
          </w:rPr>
          <w:t>частью 5 статьи 17</w:t>
        </w:r>
      </w:hyperlink>
      <w:r w:rsidRPr="00034032">
        <w:rPr>
          <w:sz w:val="26"/>
          <w:szCs w:val="26"/>
        </w:rPr>
        <w:t xml:space="preserve"> Закона о размещении заказов</w:t>
      </w:r>
      <w:r>
        <w:rPr>
          <w:sz w:val="26"/>
          <w:szCs w:val="26"/>
        </w:rPr>
        <w:t>, пунктом</w:t>
      </w:r>
      <w:r w:rsidRPr="00174CB3">
        <w:rPr>
          <w:sz w:val="26"/>
          <w:szCs w:val="26"/>
        </w:rPr>
        <w:t xml:space="preserve"> 2 Постановления Правительства РФ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r>
        <w:rPr>
          <w:sz w:val="26"/>
          <w:szCs w:val="26"/>
        </w:rPr>
        <w:t>,  Комиссия</w:t>
      </w:r>
    </w:p>
    <w:p w:rsidR="002C56D9" w:rsidRPr="00034032" w:rsidRDefault="002C56D9" w:rsidP="007A3D37">
      <w:pPr>
        <w:autoSpaceDE w:val="0"/>
        <w:autoSpaceDN w:val="0"/>
        <w:adjustRightInd w:val="0"/>
        <w:jc w:val="both"/>
        <w:rPr>
          <w:sz w:val="26"/>
          <w:szCs w:val="26"/>
        </w:rPr>
      </w:pPr>
    </w:p>
    <w:p w:rsidR="002C56D9" w:rsidRPr="00034032" w:rsidRDefault="002C56D9" w:rsidP="00A41926">
      <w:pPr>
        <w:autoSpaceDE w:val="0"/>
        <w:autoSpaceDN w:val="0"/>
        <w:adjustRightInd w:val="0"/>
        <w:ind w:firstLine="540"/>
        <w:jc w:val="center"/>
        <w:rPr>
          <w:color w:val="000000"/>
          <w:sz w:val="26"/>
          <w:szCs w:val="26"/>
        </w:rPr>
      </w:pPr>
      <w:r w:rsidRPr="00034032">
        <w:rPr>
          <w:color w:val="000000"/>
          <w:sz w:val="26"/>
          <w:szCs w:val="26"/>
        </w:rPr>
        <w:t>РЕШИЛА:</w:t>
      </w:r>
    </w:p>
    <w:p w:rsidR="002C56D9" w:rsidRPr="00034032" w:rsidRDefault="002C56D9" w:rsidP="00A41926">
      <w:pPr>
        <w:autoSpaceDE w:val="0"/>
        <w:autoSpaceDN w:val="0"/>
        <w:adjustRightInd w:val="0"/>
        <w:ind w:firstLine="540"/>
        <w:jc w:val="both"/>
        <w:rPr>
          <w:sz w:val="26"/>
          <w:szCs w:val="26"/>
        </w:rPr>
      </w:pPr>
    </w:p>
    <w:p w:rsidR="002C56D9" w:rsidRDefault="002C56D9" w:rsidP="00A41926">
      <w:pPr>
        <w:autoSpaceDE w:val="0"/>
        <w:autoSpaceDN w:val="0"/>
        <w:adjustRightInd w:val="0"/>
        <w:ind w:firstLine="540"/>
        <w:jc w:val="both"/>
        <w:rPr>
          <w:color w:val="000000"/>
          <w:sz w:val="26"/>
          <w:szCs w:val="26"/>
        </w:rPr>
      </w:pPr>
      <w:r>
        <w:rPr>
          <w:color w:val="000000"/>
          <w:sz w:val="26"/>
          <w:szCs w:val="26"/>
        </w:rPr>
        <w:t>1. Признать жалобу Общества на действия аукционной комиссии Заказчика обоснованной.</w:t>
      </w:r>
    </w:p>
    <w:p w:rsidR="002C56D9" w:rsidRDefault="002C56D9" w:rsidP="00A41926">
      <w:pPr>
        <w:autoSpaceDE w:val="0"/>
        <w:autoSpaceDN w:val="0"/>
        <w:adjustRightInd w:val="0"/>
        <w:ind w:firstLine="540"/>
        <w:jc w:val="both"/>
        <w:rPr>
          <w:color w:val="000000"/>
          <w:sz w:val="26"/>
          <w:szCs w:val="26"/>
        </w:rPr>
      </w:pPr>
      <w:r>
        <w:rPr>
          <w:color w:val="000000"/>
          <w:sz w:val="26"/>
          <w:szCs w:val="26"/>
        </w:rPr>
        <w:t>2. Признать в действиях аукционной комиссии Заказчика нарушение части 5 статьи 41.9 Закона о размещении заказов, выразившиеся в недопущении заявителя к участию в открытом аукционе в электронной форме по основаниям, не предусмотренным частью 4 статьи 41.9 Закона о размещении заказов.</w:t>
      </w:r>
    </w:p>
    <w:p w:rsidR="002C56D9" w:rsidRDefault="002C56D9" w:rsidP="004F070A">
      <w:pPr>
        <w:autoSpaceDE w:val="0"/>
        <w:autoSpaceDN w:val="0"/>
        <w:adjustRightInd w:val="0"/>
        <w:ind w:firstLine="540"/>
        <w:jc w:val="both"/>
        <w:rPr>
          <w:color w:val="000000"/>
          <w:sz w:val="26"/>
          <w:szCs w:val="26"/>
        </w:rPr>
      </w:pPr>
      <w:r>
        <w:rPr>
          <w:color w:val="000000"/>
          <w:sz w:val="26"/>
          <w:szCs w:val="26"/>
        </w:rPr>
        <w:t xml:space="preserve">3. Обязательное для исполнения предписание не выдавать, так как на момент рассмотрения жалобы контракт заключен. </w:t>
      </w:r>
    </w:p>
    <w:p w:rsidR="002C56D9" w:rsidRPr="00034032" w:rsidRDefault="002C56D9" w:rsidP="00A41926">
      <w:pPr>
        <w:autoSpaceDE w:val="0"/>
        <w:autoSpaceDN w:val="0"/>
        <w:adjustRightInd w:val="0"/>
        <w:ind w:firstLine="540"/>
        <w:jc w:val="both"/>
        <w:rPr>
          <w:color w:val="000000"/>
          <w:sz w:val="26"/>
          <w:szCs w:val="26"/>
        </w:rPr>
      </w:pPr>
      <w:r>
        <w:rPr>
          <w:color w:val="000000"/>
          <w:sz w:val="26"/>
          <w:szCs w:val="26"/>
        </w:rPr>
        <w:t>4. Передать материалы дела уполномоченному должностному лицу Ненецкого УФАС России для рассмотрения вопроса о возбуждении дела о нарушении антимонопольного законодательства Российской Федерации.</w:t>
      </w:r>
      <w:r w:rsidRPr="00034032">
        <w:rPr>
          <w:color w:val="000000"/>
          <w:sz w:val="26"/>
          <w:szCs w:val="26"/>
        </w:rPr>
        <w:t xml:space="preserve"> </w:t>
      </w:r>
    </w:p>
    <w:p w:rsidR="002C56D9" w:rsidRPr="00034032" w:rsidRDefault="002C56D9" w:rsidP="00A41926">
      <w:pPr>
        <w:autoSpaceDE w:val="0"/>
        <w:autoSpaceDN w:val="0"/>
        <w:adjustRightInd w:val="0"/>
        <w:ind w:firstLine="540"/>
        <w:jc w:val="both"/>
        <w:rPr>
          <w:sz w:val="26"/>
          <w:szCs w:val="26"/>
        </w:rPr>
      </w:pPr>
    </w:p>
    <w:p w:rsidR="002C56D9" w:rsidRPr="00034032" w:rsidRDefault="002C56D9" w:rsidP="00A41926">
      <w:pPr>
        <w:ind w:firstLine="540"/>
        <w:jc w:val="both"/>
        <w:rPr>
          <w:i/>
          <w:iCs/>
          <w:sz w:val="26"/>
          <w:szCs w:val="26"/>
        </w:rPr>
      </w:pPr>
      <w:r w:rsidRPr="00034032">
        <w:rPr>
          <w:i/>
          <w:iCs/>
          <w:sz w:val="26"/>
          <w:szCs w:val="26"/>
        </w:rPr>
        <w:t>Настоящее решение может быть обжаловано в судебном порядке в течение трех месяцев со дня его принятия.</w:t>
      </w:r>
    </w:p>
    <w:p w:rsidR="002C56D9" w:rsidRPr="00034032" w:rsidRDefault="002C56D9" w:rsidP="0035706F">
      <w:pPr>
        <w:ind w:firstLine="540"/>
        <w:jc w:val="both"/>
        <w:rPr>
          <w:sz w:val="26"/>
          <w:szCs w:val="26"/>
        </w:rPr>
      </w:pPr>
    </w:p>
    <w:p w:rsidR="002C56D9" w:rsidRPr="008B232D" w:rsidRDefault="002C56D9" w:rsidP="0035706F">
      <w:pPr>
        <w:jc w:val="both"/>
        <w:rPr>
          <w:sz w:val="26"/>
          <w:szCs w:val="26"/>
          <w:lang w:val="en-US"/>
        </w:rPr>
      </w:pPr>
      <w:r w:rsidRPr="00034032">
        <w:rPr>
          <w:sz w:val="26"/>
          <w:szCs w:val="26"/>
        </w:rPr>
        <w:t xml:space="preserve">Председатель Комиссии:                                                                            </w:t>
      </w:r>
      <w:r>
        <w:rPr>
          <w:sz w:val="26"/>
          <w:szCs w:val="26"/>
        </w:rPr>
        <w:t xml:space="preserve">  </w:t>
      </w:r>
      <w:r>
        <w:rPr>
          <w:sz w:val="26"/>
          <w:szCs w:val="26"/>
          <w:lang w:val="en-US"/>
        </w:rPr>
        <w:t xml:space="preserve">              </w:t>
      </w:r>
      <w:r>
        <w:rPr>
          <w:sz w:val="26"/>
          <w:szCs w:val="26"/>
        </w:rPr>
        <w:t xml:space="preserve">  </w:t>
      </w:r>
      <w:r>
        <w:rPr>
          <w:sz w:val="26"/>
          <w:szCs w:val="26"/>
          <w:lang w:val="en-US"/>
        </w:rPr>
        <w:t>&lt;…&gt;</w:t>
      </w:r>
    </w:p>
    <w:p w:rsidR="002C56D9" w:rsidRPr="00034032" w:rsidRDefault="002C56D9" w:rsidP="0035706F">
      <w:pPr>
        <w:jc w:val="both"/>
        <w:rPr>
          <w:sz w:val="26"/>
          <w:szCs w:val="26"/>
        </w:rPr>
      </w:pPr>
    </w:p>
    <w:p w:rsidR="002C56D9" w:rsidRPr="008B232D" w:rsidRDefault="002C56D9" w:rsidP="0035706F">
      <w:pPr>
        <w:jc w:val="both"/>
        <w:rPr>
          <w:sz w:val="26"/>
          <w:szCs w:val="26"/>
          <w:lang w:val="en-US"/>
        </w:rPr>
      </w:pPr>
      <w:r w:rsidRPr="00034032">
        <w:rPr>
          <w:sz w:val="26"/>
          <w:szCs w:val="26"/>
        </w:rPr>
        <w:t xml:space="preserve">Члены Комиссии:                                                                                         </w:t>
      </w:r>
      <w:r>
        <w:rPr>
          <w:sz w:val="26"/>
          <w:szCs w:val="26"/>
        </w:rPr>
        <w:t xml:space="preserve">    </w:t>
      </w:r>
      <w:r>
        <w:rPr>
          <w:sz w:val="26"/>
          <w:szCs w:val="26"/>
          <w:lang w:val="en-US"/>
        </w:rPr>
        <w:t xml:space="preserve">            </w:t>
      </w:r>
      <w:r>
        <w:rPr>
          <w:sz w:val="26"/>
          <w:szCs w:val="26"/>
        </w:rPr>
        <w:t xml:space="preserve"> </w:t>
      </w:r>
      <w:r>
        <w:rPr>
          <w:sz w:val="26"/>
          <w:szCs w:val="26"/>
          <w:lang w:val="en-US"/>
        </w:rPr>
        <w:t>&lt;…&gt;</w:t>
      </w:r>
    </w:p>
    <w:p w:rsidR="002C56D9" w:rsidRPr="00034032" w:rsidRDefault="002C56D9" w:rsidP="0035706F">
      <w:pPr>
        <w:jc w:val="center"/>
        <w:rPr>
          <w:sz w:val="26"/>
          <w:szCs w:val="26"/>
        </w:rPr>
      </w:pPr>
      <w:r w:rsidRPr="00034032">
        <w:rPr>
          <w:sz w:val="26"/>
          <w:szCs w:val="26"/>
        </w:rPr>
        <w:t xml:space="preserve">                                                                                                                                       </w:t>
      </w:r>
    </w:p>
    <w:p w:rsidR="002C56D9" w:rsidRPr="008B232D" w:rsidRDefault="002C56D9" w:rsidP="00B83270">
      <w:pPr>
        <w:jc w:val="right"/>
        <w:rPr>
          <w:sz w:val="26"/>
          <w:szCs w:val="26"/>
          <w:lang w:val="en-US"/>
        </w:rPr>
      </w:pPr>
      <w:r w:rsidRPr="00034032">
        <w:rPr>
          <w:sz w:val="26"/>
          <w:szCs w:val="26"/>
        </w:rPr>
        <w:t xml:space="preserve">                                                                                                                  </w:t>
      </w:r>
      <w:r>
        <w:rPr>
          <w:sz w:val="26"/>
          <w:szCs w:val="26"/>
          <w:lang w:val="en-US"/>
        </w:rPr>
        <w:t>&lt;…&gt;</w:t>
      </w:r>
    </w:p>
    <w:sectPr w:rsidR="002C56D9" w:rsidRPr="008B232D" w:rsidSect="00B95401">
      <w:headerReference w:type="default" r:id="rId15"/>
      <w:pgSz w:w="11906" w:h="16838"/>
      <w:pgMar w:top="1134" w:right="74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D9" w:rsidRDefault="002C56D9" w:rsidP="00D56F14">
      <w:r>
        <w:separator/>
      </w:r>
    </w:p>
  </w:endnote>
  <w:endnote w:type="continuationSeparator" w:id="0">
    <w:p w:rsidR="002C56D9" w:rsidRDefault="002C56D9" w:rsidP="00D56F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D9" w:rsidRDefault="002C56D9" w:rsidP="00D56F14">
      <w:r>
        <w:separator/>
      </w:r>
    </w:p>
  </w:footnote>
  <w:footnote w:type="continuationSeparator" w:id="0">
    <w:p w:rsidR="002C56D9" w:rsidRDefault="002C56D9" w:rsidP="00D56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D9" w:rsidRPr="007251F4" w:rsidRDefault="002C56D9" w:rsidP="00B95401">
    <w:pPr>
      <w:pStyle w:val="Header"/>
      <w:framePr w:wrap="auto" w:vAnchor="text" w:hAnchor="margin" w:xAlign="center" w:y="1"/>
      <w:rPr>
        <w:rStyle w:val="PageNumber"/>
        <w:sz w:val="24"/>
        <w:szCs w:val="24"/>
      </w:rPr>
    </w:pPr>
    <w:r w:rsidRPr="007251F4">
      <w:rPr>
        <w:rStyle w:val="PageNumber"/>
        <w:sz w:val="24"/>
        <w:szCs w:val="24"/>
      </w:rPr>
      <w:fldChar w:fldCharType="begin"/>
    </w:r>
    <w:r w:rsidRPr="007251F4">
      <w:rPr>
        <w:rStyle w:val="PageNumber"/>
        <w:sz w:val="24"/>
        <w:szCs w:val="24"/>
      </w:rPr>
      <w:instrText xml:space="preserve">PAGE  </w:instrText>
    </w:r>
    <w:r w:rsidRPr="007251F4">
      <w:rPr>
        <w:rStyle w:val="PageNumber"/>
        <w:sz w:val="24"/>
        <w:szCs w:val="24"/>
      </w:rPr>
      <w:fldChar w:fldCharType="separate"/>
    </w:r>
    <w:r>
      <w:rPr>
        <w:rStyle w:val="PageNumber"/>
        <w:noProof/>
        <w:sz w:val="24"/>
        <w:szCs w:val="24"/>
      </w:rPr>
      <w:t>2</w:t>
    </w:r>
    <w:r w:rsidRPr="007251F4">
      <w:rPr>
        <w:rStyle w:val="PageNumber"/>
        <w:sz w:val="24"/>
        <w:szCs w:val="24"/>
      </w:rPr>
      <w:fldChar w:fldCharType="end"/>
    </w:r>
  </w:p>
  <w:p w:rsidR="002C56D9" w:rsidRDefault="002C56D9" w:rsidP="00B95401">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A97"/>
    <w:rsid w:val="0000733C"/>
    <w:rsid w:val="00011BF5"/>
    <w:rsid w:val="00011C8F"/>
    <w:rsid w:val="00014005"/>
    <w:rsid w:val="00025F77"/>
    <w:rsid w:val="00034032"/>
    <w:rsid w:val="00044A26"/>
    <w:rsid w:val="00045983"/>
    <w:rsid w:val="000515A3"/>
    <w:rsid w:val="00052A8A"/>
    <w:rsid w:val="00053907"/>
    <w:rsid w:val="00083C0D"/>
    <w:rsid w:val="000937D6"/>
    <w:rsid w:val="000A1E8D"/>
    <w:rsid w:val="000A5126"/>
    <w:rsid w:val="000A65F8"/>
    <w:rsid w:val="000A6E4C"/>
    <w:rsid w:val="000B4579"/>
    <w:rsid w:val="000C0108"/>
    <w:rsid w:val="000D10DF"/>
    <w:rsid w:val="000D4862"/>
    <w:rsid w:val="000E666B"/>
    <w:rsid w:val="000E6B0B"/>
    <w:rsid w:val="000F4938"/>
    <w:rsid w:val="000F60DB"/>
    <w:rsid w:val="000F73C7"/>
    <w:rsid w:val="00101427"/>
    <w:rsid w:val="00103D40"/>
    <w:rsid w:val="00112E30"/>
    <w:rsid w:val="00115EA2"/>
    <w:rsid w:val="001172FA"/>
    <w:rsid w:val="00117505"/>
    <w:rsid w:val="0012456A"/>
    <w:rsid w:val="001249CF"/>
    <w:rsid w:val="00137F44"/>
    <w:rsid w:val="00147005"/>
    <w:rsid w:val="00161470"/>
    <w:rsid w:val="00164BF7"/>
    <w:rsid w:val="00167385"/>
    <w:rsid w:val="00172B7B"/>
    <w:rsid w:val="00174CB3"/>
    <w:rsid w:val="0018095B"/>
    <w:rsid w:val="0018740B"/>
    <w:rsid w:val="001918CE"/>
    <w:rsid w:val="00193036"/>
    <w:rsid w:val="0019326D"/>
    <w:rsid w:val="00193C27"/>
    <w:rsid w:val="00194180"/>
    <w:rsid w:val="001A4449"/>
    <w:rsid w:val="001A7519"/>
    <w:rsid w:val="001A79F8"/>
    <w:rsid w:val="001B0A1D"/>
    <w:rsid w:val="001B15A7"/>
    <w:rsid w:val="001D127D"/>
    <w:rsid w:val="001D73E1"/>
    <w:rsid w:val="001E5DDF"/>
    <w:rsid w:val="001F13BE"/>
    <w:rsid w:val="001F375C"/>
    <w:rsid w:val="001F5FE3"/>
    <w:rsid w:val="001F6380"/>
    <w:rsid w:val="002016C9"/>
    <w:rsid w:val="00201CE7"/>
    <w:rsid w:val="0020658E"/>
    <w:rsid w:val="002074FC"/>
    <w:rsid w:val="00210017"/>
    <w:rsid w:val="002123E0"/>
    <w:rsid w:val="00217DBF"/>
    <w:rsid w:val="00225043"/>
    <w:rsid w:val="0023222E"/>
    <w:rsid w:val="00250C2F"/>
    <w:rsid w:val="00252EE0"/>
    <w:rsid w:val="00257A86"/>
    <w:rsid w:val="002837CD"/>
    <w:rsid w:val="00287C27"/>
    <w:rsid w:val="00295487"/>
    <w:rsid w:val="002A5F21"/>
    <w:rsid w:val="002B1A03"/>
    <w:rsid w:val="002B4B98"/>
    <w:rsid w:val="002C56D9"/>
    <w:rsid w:val="002D03DF"/>
    <w:rsid w:val="002D38B1"/>
    <w:rsid w:val="002D569A"/>
    <w:rsid w:val="002E1DC1"/>
    <w:rsid w:val="002F00F6"/>
    <w:rsid w:val="00300BA9"/>
    <w:rsid w:val="00310A24"/>
    <w:rsid w:val="00313EB0"/>
    <w:rsid w:val="00321367"/>
    <w:rsid w:val="003233E7"/>
    <w:rsid w:val="00325FBB"/>
    <w:rsid w:val="0033123C"/>
    <w:rsid w:val="00333FC9"/>
    <w:rsid w:val="00335C3D"/>
    <w:rsid w:val="0033772E"/>
    <w:rsid w:val="003419DD"/>
    <w:rsid w:val="0034404C"/>
    <w:rsid w:val="00345C0C"/>
    <w:rsid w:val="00350554"/>
    <w:rsid w:val="0035560A"/>
    <w:rsid w:val="00355EA4"/>
    <w:rsid w:val="0035706F"/>
    <w:rsid w:val="00364DA6"/>
    <w:rsid w:val="00377C4C"/>
    <w:rsid w:val="00377D99"/>
    <w:rsid w:val="0038064E"/>
    <w:rsid w:val="00381A52"/>
    <w:rsid w:val="0038373D"/>
    <w:rsid w:val="0038567C"/>
    <w:rsid w:val="003913D3"/>
    <w:rsid w:val="00393034"/>
    <w:rsid w:val="003A1785"/>
    <w:rsid w:val="003A2064"/>
    <w:rsid w:val="003A628C"/>
    <w:rsid w:val="003C0673"/>
    <w:rsid w:val="003C3ECB"/>
    <w:rsid w:val="003C40C8"/>
    <w:rsid w:val="003D63BA"/>
    <w:rsid w:val="003E08E2"/>
    <w:rsid w:val="003E512B"/>
    <w:rsid w:val="003F05FC"/>
    <w:rsid w:val="003F206C"/>
    <w:rsid w:val="00401D4D"/>
    <w:rsid w:val="00401E8F"/>
    <w:rsid w:val="00404921"/>
    <w:rsid w:val="004138BF"/>
    <w:rsid w:val="004219F5"/>
    <w:rsid w:val="00426B61"/>
    <w:rsid w:val="00446EDA"/>
    <w:rsid w:val="004630B6"/>
    <w:rsid w:val="00467B58"/>
    <w:rsid w:val="00473CFF"/>
    <w:rsid w:val="00476554"/>
    <w:rsid w:val="00480EE5"/>
    <w:rsid w:val="004810B2"/>
    <w:rsid w:val="00481365"/>
    <w:rsid w:val="00484E5D"/>
    <w:rsid w:val="0048759F"/>
    <w:rsid w:val="00494849"/>
    <w:rsid w:val="004958AA"/>
    <w:rsid w:val="00496EBB"/>
    <w:rsid w:val="00497401"/>
    <w:rsid w:val="004A1FA8"/>
    <w:rsid w:val="004A4493"/>
    <w:rsid w:val="004A4672"/>
    <w:rsid w:val="004B4376"/>
    <w:rsid w:val="004C42A3"/>
    <w:rsid w:val="004C775D"/>
    <w:rsid w:val="004D1B09"/>
    <w:rsid w:val="004E329B"/>
    <w:rsid w:val="004E7057"/>
    <w:rsid w:val="004E7995"/>
    <w:rsid w:val="004F070A"/>
    <w:rsid w:val="00504B45"/>
    <w:rsid w:val="00521945"/>
    <w:rsid w:val="00527F76"/>
    <w:rsid w:val="0053258F"/>
    <w:rsid w:val="0053360A"/>
    <w:rsid w:val="00543217"/>
    <w:rsid w:val="005733BF"/>
    <w:rsid w:val="005824C1"/>
    <w:rsid w:val="00587A45"/>
    <w:rsid w:val="00594F22"/>
    <w:rsid w:val="005965EA"/>
    <w:rsid w:val="00596E1D"/>
    <w:rsid w:val="005B1F1B"/>
    <w:rsid w:val="005B3253"/>
    <w:rsid w:val="005C69B8"/>
    <w:rsid w:val="005D02D0"/>
    <w:rsid w:val="005D2173"/>
    <w:rsid w:val="005D4D30"/>
    <w:rsid w:val="005E1192"/>
    <w:rsid w:val="005E1B1E"/>
    <w:rsid w:val="005E7EB1"/>
    <w:rsid w:val="005F15E3"/>
    <w:rsid w:val="005F7B97"/>
    <w:rsid w:val="00604C43"/>
    <w:rsid w:val="00613651"/>
    <w:rsid w:val="00624463"/>
    <w:rsid w:val="00624C1B"/>
    <w:rsid w:val="00624FED"/>
    <w:rsid w:val="00625BB2"/>
    <w:rsid w:val="006347F0"/>
    <w:rsid w:val="00665B40"/>
    <w:rsid w:val="006668D1"/>
    <w:rsid w:val="00683195"/>
    <w:rsid w:val="0068459A"/>
    <w:rsid w:val="00687B95"/>
    <w:rsid w:val="00696130"/>
    <w:rsid w:val="006A1AA7"/>
    <w:rsid w:val="006A2406"/>
    <w:rsid w:val="006A3989"/>
    <w:rsid w:val="006A777C"/>
    <w:rsid w:val="006B19D4"/>
    <w:rsid w:val="006B3957"/>
    <w:rsid w:val="006C250E"/>
    <w:rsid w:val="006C2C8F"/>
    <w:rsid w:val="006C4A97"/>
    <w:rsid w:val="006D2354"/>
    <w:rsid w:val="006E1D4B"/>
    <w:rsid w:val="006E4C2E"/>
    <w:rsid w:val="006E6640"/>
    <w:rsid w:val="006F0AA9"/>
    <w:rsid w:val="006F4A4B"/>
    <w:rsid w:val="006F5303"/>
    <w:rsid w:val="00701353"/>
    <w:rsid w:val="0070517D"/>
    <w:rsid w:val="00706DD8"/>
    <w:rsid w:val="0072308D"/>
    <w:rsid w:val="007251F4"/>
    <w:rsid w:val="00730DD9"/>
    <w:rsid w:val="00735140"/>
    <w:rsid w:val="00760083"/>
    <w:rsid w:val="00773610"/>
    <w:rsid w:val="007756C8"/>
    <w:rsid w:val="00777684"/>
    <w:rsid w:val="00781204"/>
    <w:rsid w:val="007823AF"/>
    <w:rsid w:val="00790B31"/>
    <w:rsid w:val="00797492"/>
    <w:rsid w:val="007A3D37"/>
    <w:rsid w:val="007A773D"/>
    <w:rsid w:val="007B1A9E"/>
    <w:rsid w:val="007B75A5"/>
    <w:rsid w:val="007D672B"/>
    <w:rsid w:val="007E00BE"/>
    <w:rsid w:val="007F25C6"/>
    <w:rsid w:val="007F35BC"/>
    <w:rsid w:val="007F4990"/>
    <w:rsid w:val="007F4C06"/>
    <w:rsid w:val="008178B7"/>
    <w:rsid w:val="00824DA3"/>
    <w:rsid w:val="00825720"/>
    <w:rsid w:val="00834625"/>
    <w:rsid w:val="00850A10"/>
    <w:rsid w:val="00851866"/>
    <w:rsid w:val="00863F44"/>
    <w:rsid w:val="00865FAE"/>
    <w:rsid w:val="00872BBF"/>
    <w:rsid w:val="008819BC"/>
    <w:rsid w:val="00881BC7"/>
    <w:rsid w:val="00895107"/>
    <w:rsid w:val="008A0623"/>
    <w:rsid w:val="008A1BA9"/>
    <w:rsid w:val="008A4A9B"/>
    <w:rsid w:val="008B135A"/>
    <w:rsid w:val="008B232D"/>
    <w:rsid w:val="008B5184"/>
    <w:rsid w:val="008B7453"/>
    <w:rsid w:val="008D0A00"/>
    <w:rsid w:val="008D5ACF"/>
    <w:rsid w:val="008E36FD"/>
    <w:rsid w:val="008E6D36"/>
    <w:rsid w:val="008F132C"/>
    <w:rsid w:val="008F27AE"/>
    <w:rsid w:val="008F77D7"/>
    <w:rsid w:val="00910484"/>
    <w:rsid w:val="00917ED2"/>
    <w:rsid w:val="0093564C"/>
    <w:rsid w:val="00940B83"/>
    <w:rsid w:val="00942C0D"/>
    <w:rsid w:val="00943AF1"/>
    <w:rsid w:val="0094474F"/>
    <w:rsid w:val="00946194"/>
    <w:rsid w:val="00946B45"/>
    <w:rsid w:val="00956386"/>
    <w:rsid w:val="00962543"/>
    <w:rsid w:val="009708B6"/>
    <w:rsid w:val="0098104B"/>
    <w:rsid w:val="00997E47"/>
    <w:rsid w:val="009A2598"/>
    <w:rsid w:val="009C2C68"/>
    <w:rsid w:val="009C343F"/>
    <w:rsid w:val="009D0648"/>
    <w:rsid w:val="009D3F98"/>
    <w:rsid w:val="009E2E63"/>
    <w:rsid w:val="009E6D0E"/>
    <w:rsid w:val="009F256E"/>
    <w:rsid w:val="009F568C"/>
    <w:rsid w:val="00A138B3"/>
    <w:rsid w:val="00A26ED9"/>
    <w:rsid w:val="00A41926"/>
    <w:rsid w:val="00A47C33"/>
    <w:rsid w:val="00A51079"/>
    <w:rsid w:val="00A74527"/>
    <w:rsid w:val="00A74EFA"/>
    <w:rsid w:val="00A77B38"/>
    <w:rsid w:val="00A804D0"/>
    <w:rsid w:val="00A83129"/>
    <w:rsid w:val="00A83A96"/>
    <w:rsid w:val="00A83E9F"/>
    <w:rsid w:val="00A84027"/>
    <w:rsid w:val="00A878FF"/>
    <w:rsid w:val="00AA1916"/>
    <w:rsid w:val="00AA2E3D"/>
    <w:rsid w:val="00AA578A"/>
    <w:rsid w:val="00AB5A41"/>
    <w:rsid w:val="00AB65A0"/>
    <w:rsid w:val="00AC09D3"/>
    <w:rsid w:val="00AD538B"/>
    <w:rsid w:val="00AE785B"/>
    <w:rsid w:val="00AF51ED"/>
    <w:rsid w:val="00AF59EF"/>
    <w:rsid w:val="00AF79E8"/>
    <w:rsid w:val="00B01DF9"/>
    <w:rsid w:val="00B05198"/>
    <w:rsid w:val="00B41FF8"/>
    <w:rsid w:val="00B50B09"/>
    <w:rsid w:val="00B57540"/>
    <w:rsid w:val="00B575F6"/>
    <w:rsid w:val="00B625E1"/>
    <w:rsid w:val="00B73140"/>
    <w:rsid w:val="00B77E9D"/>
    <w:rsid w:val="00B81C7E"/>
    <w:rsid w:val="00B83270"/>
    <w:rsid w:val="00B907AA"/>
    <w:rsid w:val="00B918D3"/>
    <w:rsid w:val="00B95401"/>
    <w:rsid w:val="00BA360C"/>
    <w:rsid w:val="00BB0359"/>
    <w:rsid w:val="00BB0932"/>
    <w:rsid w:val="00BB3140"/>
    <w:rsid w:val="00BB3F5A"/>
    <w:rsid w:val="00BD3574"/>
    <w:rsid w:val="00BD58B1"/>
    <w:rsid w:val="00BE7647"/>
    <w:rsid w:val="00BF4A69"/>
    <w:rsid w:val="00BF7048"/>
    <w:rsid w:val="00C07984"/>
    <w:rsid w:val="00C10EB6"/>
    <w:rsid w:val="00C21606"/>
    <w:rsid w:val="00C26F34"/>
    <w:rsid w:val="00C30396"/>
    <w:rsid w:val="00C325B9"/>
    <w:rsid w:val="00C4198A"/>
    <w:rsid w:val="00C42405"/>
    <w:rsid w:val="00C42D56"/>
    <w:rsid w:val="00C45E3C"/>
    <w:rsid w:val="00C46C87"/>
    <w:rsid w:val="00C547BC"/>
    <w:rsid w:val="00C564F2"/>
    <w:rsid w:val="00C66D9C"/>
    <w:rsid w:val="00C728CB"/>
    <w:rsid w:val="00C758B1"/>
    <w:rsid w:val="00C75B1D"/>
    <w:rsid w:val="00C76C39"/>
    <w:rsid w:val="00C844D2"/>
    <w:rsid w:val="00CA1651"/>
    <w:rsid w:val="00CA1B68"/>
    <w:rsid w:val="00CA1E6E"/>
    <w:rsid w:val="00CA7AAD"/>
    <w:rsid w:val="00CE2217"/>
    <w:rsid w:val="00CE2E24"/>
    <w:rsid w:val="00CE48F0"/>
    <w:rsid w:val="00CF1D6F"/>
    <w:rsid w:val="00CF1F0A"/>
    <w:rsid w:val="00CF23AA"/>
    <w:rsid w:val="00CF32DC"/>
    <w:rsid w:val="00D05194"/>
    <w:rsid w:val="00D0677C"/>
    <w:rsid w:val="00D11A49"/>
    <w:rsid w:val="00D25560"/>
    <w:rsid w:val="00D40F5F"/>
    <w:rsid w:val="00D42E27"/>
    <w:rsid w:val="00D4346B"/>
    <w:rsid w:val="00D43C3F"/>
    <w:rsid w:val="00D442A5"/>
    <w:rsid w:val="00D5060E"/>
    <w:rsid w:val="00D56F14"/>
    <w:rsid w:val="00D726A3"/>
    <w:rsid w:val="00D93043"/>
    <w:rsid w:val="00D97C5F"/>
    <w:rsid w:val="00D97D7E"/>
    <w:rsid w:val="00DB2643"/>
    <w:rsid w:val="00DB3795"/>
    <w:rsid w:val="00DB3D6E"/>
    <w:rsid w:val="00DC05F6"/>
    <w:rsid w:val="00DD30FB"/>
    <w:rsid w:val="00DE37F2"/>
    <w:rsid w:val="00DE65D0"/>
    <w:rsid w:val="00DE6996"/>
    <w:rsid w:val="00DF09F8"/>
    <w:rsid w:val="00DF155E"/>
    <w:rsid w:val="00E07300"/>
    <w:rsid w:val="00E11B5F"/>
    <w:rsid w:val="00E12E2D"/>
    <w:rsid w:val="00E2351B"/>
    <w:rsid w:val="00E2370F"/>
    <w:rsid w:val="00E238B3"/>
    <w:rsid w:val="00E328DF"/>
    <w:rsid w:val="00E37EDF"/>
    <w:rsid w:val="00E517F2"/>
    <w:rsid w:val="00E525D8"/>
    <w:rsid w:val="00E751BD"/>
    <w:rsid w:val="00E836F3"/>
    <w:rsid w:val="00E85A79"/>
    <w:rsid w:val="00E85D94"/>
    <w:rsid w:val="00E912DA"/>
    <w:rsid w:val="00E924D6"/>
    <w:rsid w:val="00E926BA"/>
    <w:rsid w:val="00EA24E5"/>
    <w:rsid w:val="00EA66E6"/>
    <w:rsid w:val="00EA7288"/>
    <w:rsid w:val="00EB09B1"/>
    <w:rsid w:val="00EB3823"/>
    <w:rsid w:val="00EB5BBB"/>
    <w:rsid w:val="00EC0B99"/>
    <w:rsid w:val="00EC623C"/>
    <w:rsid w:val="00EC6EFF"/>
    <w:rsid w:val="00ED7D68"/>
    <w:rsid w:val="00EE223A"/>
    <w:rsid w:val="00EE323F"/>
    <w:rsid w:val="00EF5073"/>
    <w:rsid w:val="00EF789F"/>
    <w:rsid w:val="00F00191"/>
    <w:rsid w:val="00F0688C"/>
    <w:rsid w:val="00F11234"/>
    <w:rsid w:val="00F30C64"/>
    <w:rsid w:val="00F32714"/>
    <w:rsid w:val="00F32F87"/>
    <w:rsid w:val="00F34C11"/>
    <w:rsid w:val="00F37A43"/>
    <w:rsid w:val="00F441F6"/>
    <w:rsid w:val="00F543E6"/>
    <w:rsid w:val="00F54C26"/>
    <w:rsid w:val="00F55123"/>
    <w:rsid w:val="00F60456"/>
    <w:rsid w:val="00F62520"/>
    <w:rsid w:val="00F67D5D"/>
    <w:rsid w:val="00F81563"/>
    <w:rsid w:val="00F8764E"/>
    <w:rsid w:val="00F93323"/>
    <w:rsid w:val="00FB6187"/>
    <w:rsid w:val="00FC4D9B"/>
    <w:rsid w:val="00FD450F"/>
    <w:rsid w:val="00FD64DF"/>
    <w:rsid w:val="00FE1E9B"/>
    <w:rsid w:val="00FE7A65"/>
    <w:rsid w:val="00FF1EBF"/>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97"/>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4A97"/>
    <w:pPr>
      <w:tabs>
        <w:tab w:val="center" w:pos="4677"/>
        <w:tab w:val="right" w:pos="9355"/>
      </w:tabs>
    </w:pPr>
  </w:style>
  <w:style w:type="character" w:customStyle="1" w:styleId="HeaderChar">
    <w:name w:val="Header Char"/>
    <w:basedOn w:val="DefaultParagraphFont"/>
    <w:link w:val="Header"/>
    <w:uiPriority w:val="99"/>
    <w:locked/>
    <w:rsid w:val="006C4A97"/>
    <w:rPr>
      <w:rFonts w:ascii="Times New Roman" w:hAnsi="Times New Roman" w:cs="Times New Roman"/>
      <w:sz w:val="20"/>
      <w:szCs w:val="20"/>
      <w:lang w:eastAsia="ru-RU"/>
    </w:rPr>
  </w:style>
  <w:style w:type="character" w:styleId="PageNumber">
    <w:name w:val="page number"/>
    <w:basedOn w:val="DefaultParagraphFont"/>
    <w:uiPriority w:val="99"/>
    <w:rsid w:val="006C4A97"/>
  </w:style>
  <w:style w:type="character" w:styleId="Hyperlink">
    <w:name w:val="Hyperlink"/>
    <w:basedOn w:val="DefaultParagraphFont"/>
    <w:uiPriority w:val="99"/>
    <w:rsid w:val="006C4A97"/>
    <w:rPr>
      <w:color w:val="0000FF"/>
      <w:u w:val="single"/>
    </w:rPr>
  </w:style>
  <w:style w:type="paragraph" w:customStyle="1" w:styleId="a">
    <w:name w:val="Адресат вверху"/>
    <w:basedOn w:val="Normal"/>
    <w:uiPriority w:val="99"/>
    <w:rsid w:val="006C4A97"/>
    <w:pPr>
      <w:suppressAutoHyphens/>
      <w:jc w:val="both"/>
    </w:pPr>
    <w:rPr>
      <w:b/>
      <w:bCs/>
      <w:kern w:val="20"/>
      <w:sz w:val="24"/>
      <w:szCs w:val="24"/>
    </w:rPr>
  </w:style>
  <w:style w:type="table" w:styleId="TableGrid">
    <w:name w:val="Table Grid"/>
    <w:basedOn w:val="TableNormal"/>
    <w:uiPriority w:val="99"/>
    <w:locked/>
    <w:rsid w:val="00D726A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EF8D5CBA88BD282457FAC6F7648FACC33CACB31E30D6F121D83D73C3A2C390BB7227AC5EA8DAADF5MDX7F" TargetMode="External"/><Relationship Id="rId3" Type="http://schemas.openxmlformats.org/officeDocument/2006/relationships/webSettings" Target="webSettings.xml"/><Relationship Id="rId7" Type="http://schemas.openxmlformats.org/officeDocument/2006/relationships/hyperlink" Target="http://zakupki.gov.ru/" TargetMode="External"/><Relationship Id="rId12" Type="http://schemas.openxmlformats.org/officeDocument/2006/relationships/hyperlink" Target="consultantplus://offline/ref=7C0FE180ADF6244D1857150C956F259BF5052D3E569F86C29AED6681CEBBF1AB206DD41FA83C1DE7j6J9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hyperlink" Target="consultantplus://offline/ref=B2D978B967E2D46EFE8FC09B62038EFDA52E45CFB2B33DC1CEADF84C21CCBA438FA205561041YE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B2D978B967E2D46EFE8FC09B62038EFDA52E45CFB2B33DC1CEADF84C21CCBA438FA205561041Y9E" TargetMode="External"/><Relationship Id="rId4" Type="http://schemas.openxmlformats.org/officeDocument/2006/relationships/footnotes" Target="footnotes.xml"/><Relationship Id="rId9" Type="http://schemas.openxmlformats.org/officeDocument/2006/relationships/hyperlink" Target="http://zakupki.gov.ru/" TargetMode="External"/><Relationship Id="rId14" Type="http://schemas.openxmlformats.org/officeDocument/2006/relationships/hyperlink" Target="consultantplus://offline/ref=5E85F07DDD090F0AF82CE4792BCCCA20212401EC200B035F1215EA6E38DD77D1680C1C5ADDp92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1374</TotalTime>
  <Pages>7</Pages>
  <Words>2731</Words>
  <Characters>15570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to83-noskova</dc:creator>
  <cp:keywords/>
  <dc:description/>
  <cp:lastModifiedBy>to83-malko</cp:lastModifiedBy>
  <cp:revision>39</cp:revision>
  <cp:lastPrinted>2013-12-23T15:57:00Z</cp:lastPrinted>
  <dcterms:created xsi:type="dcterms:W3CDTF">2013-08-27T08:28:00Z</dcterms:created>
  <dcterms:modified xsi:type="dcterms:W3CDTF">2014-02-14T05:40:00Z</dcterms:modified>
</cp:coreProperties>
</file>