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2" w:rsidRDefault="003F30A9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2572920</wp:posOffset>
            </wp:positionH>
            <wp:positionV relativeFrom="paragraph">
              <wp:posOffset>-24844</wp:posOffset>
            </wp:positionV>
            <wp:extent cx="859682" cy="763203"/>
            <wp:effectExtent l="0" t="0" r="0" b="0"/>
            <wp:wrapTight wrapText="bothSides">
              <wp:wrapPolygon edited="0">
                <wp:start x="-479" y="0"/>
                <wp:lineTo x="-479" y="21027"/>
                <wp:lineTo x="21539" y="21027"/>
                <wp:lineTo x="21539" y="0"/>
                <wp:lineTo x="-479" y="0"/>
              </wp:wrapPolygon>
            </wp:wrapTight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682" cy="763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0532" w:rsidRDefault="008D0532">
      <w:pPr>
        <w:pStyle w:val="Standard"/>
        <w:jc w:val="center"/>
      </w:pPr>
    </w:p>
    <w:p w:rsidR="008D0532" w:rsidRDefault="008D0532">
      <w:pPr>
        <w:pStyle w:val="Standard"/>
        <w:jc w:val="center"/>
      </w:pPr>
    </w:p>
    <w:p w:rsidR="008D0532" w:rsidRDefault="008D0532">
      <w:pPr>
        <w:pStyle w:val="Standard"/>
        <w:jc w:val="center"/>
      </w:pPr>
    </w:p>
    <w:p w:rsidR="008D0532" w:rsidRDefault="008D0532">
      <w:pPr>
        <w:pStyle w:val="Standard"/>
        <w:jc w:val="center"/>
      </w:pPr>
    </w:p>
    <w:tbl>
      <w:tblPr>
        <w:tblW w:w="980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05"/>
      </w:tblGrid>
      <w:tr w:rsidR="008D0532" w:rsidTr="008D0532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9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32" w:rsidRDefault="003F30A9">
            <w:pPr>
              <w:pStyle w:val="Textbody"/>
              <w:jc w:val="center"/>
              <w:rPr>
                <w:b/>
                <w:color w:val="0066CC"/>
                <w:szCs w:val="24"/>
              </w:rPr>
            </w:pPr>
            <w:r>
              <w:rPr>
                <w:b/>
                <w:color w:val="0066CC"/>
                <w:szCs w:val="24"/>
              </w:rPr>
              <w:t>УПРАВЛЕНИЕ ФЕДЕРАЛЬНОЙ АНТИМОНОПОЛЬНОЙ СЛУЖБЫ</w:t>
            </w:r>
          </w:p>
          <w:p w:rsidR="008D0532" w:rsidRDefault="003F30A9">
            <w:pPr>
              <w:pStyle w:val="Standard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ПО НЕНЕЦКОМУ АВТОНОМНОМУ ОКРУГУ</w:t>
            </w:r>
          </w:p>
          <w:p w:rsidR="008D0532" w:rsidRDefault="008D0532">
            <w:pPr>
              <w:pStyle w:val="Heading3user"/>
              <w:numPr>
                <w:ilvl w:val="2"/>
                <w:numId w:val="2"/>
              </w:numPr>
              <w:rPr>
                <w:color w:val="0066CC"/>
                <w:sz w:val="24"/>
                <w:szCs w:val="24"/>
              </w:rPr>
            </w:pPr>
          </w:p>
          <w:p w:rsidR="008D0532" w:rsidRDefault="003F30A9">
            <w:pPr>
              <w:pStyle w:val="Heading3user"/>
              <w:numPr>
                <w:ilvl w:val="2"/>
                <w:numId w:val="2"/>
              </w:numPr>
              <w:rPr>
                <w:color w:val="0066CC"/>
                <w:sz w:val="24"/>
                <w:szCs w:val="24"/>
              </w:rPr>
            </w:pPr>
            <w:r>
              <w:rPr>
                <w:color w:val="0066CC"/>
                <w:sz w:val="24"/>
                <w:szCs w:val="24"/>
              </w:rPr>
              <w:t>РЕШЕНИЕ</w:t>
            </w:r>
          </w:p>
          <w:p w:rsidR="008D0532" w:rsidRDefault="003F30A9">
            <w:pPr>
              <w:pStyle w:val="Standard"/>
              <w:jc w:val="center"/>
              <w:rPr>
                <w:color w:val="0066CC"/>
              </w:rPr>
            </w:pPr>
            <w:r>
              <w:rPr>
                <w:color w:val="0066CC"/>
              </w:rPr>
              <w:t xml:space="preserve">   о нарушении   законодательства   о  контрактной   системе</w:t>
            </w:r>
          </w:p>
          <w:p w:rsidR="008D0532" w:rsidRDefault="008D0532">
            <w:pPr>
              <w:pStyle w:val="Standard"/>
              <w:numPr>
                <w:ilvl w:val="2"/>
                <w:numId w:val="2"/>
              </w:numPr>
              <w:jc w:val="center"/>
              <w:rPr>
                <w:color w:val="0066CC"/>
              </w:rPr>
            </w:pPr>
          </w:p>
          <w:p w:rsidR="008D0532" w:rsidRDefault="003F30A9">
            <w:pPr>
              <w:pStyle w:val="Standard"/>
            </w:pPr>
            <w:r>
              <w:rPr>
                <w:color w:val="0066CC"/>
              </w:rPr>
              <w:t xml:space="preserve">16.11.2021 </w:t>
            </w:r>
            <w:r>
              <w:rPr>
                <w:color w:val="0066CC"/>
              </w:rPr>
              <w:t xml:space="preserve">                                                                                                    №083/06/106-39/2021</w:t>
            </w:r>
          </w:p>
          <w:p w:rsidR="008D0532" w:rsidRDefault="003F30A9">
            <w:pPr>
              <w:pStyle w:val="Standard"/>
              <w:jc w:val="center"/>
              <w:rPr>
                <w:color w:val="0066CC"/>
              </w:rPr>
            </w:pPr>
            <w:r>
              <w:rPr>
                <w:color w:val="0066CC"/>
              </w:rPr>
              <w:t>г. Нарьян-Мар</w:t>
            </w:r>
          </w:p>
        </w:tc>
      </w:tr>
    </w:tbl>
    <w:p w:rsidR="008D0532" w:rsidRDefault="008D0532">
      <w:pPr>
        <w:pStyle w:val="Standard"/>
        <w:rPr>
          <w:lang w:eastAsia="ru-RU"/>
        </w:rPr>
      </w:pPr>
    </w:p>
    <w:p w:rsidR="008D0532" w:rsidRDefault="003F30A9">
      <w:pPr>
        <w:pStyle w:val="Standard"/>
        <w:jc w:val="both"/>
        <w:rPr>
          <w:b/>
          <w:bCs/>
        </w:rPr>
      </w:pPr>
      <w:r>
        <w:rPr>
          <w:b/>
          <w:bCs/>
        </w:rPr>
        <w:t>Сведения о проверке:</w:t>
      </w:r>
    </w:p>
    <w:p w:rsidR="008D0532" w:rsidRDefault="008D0532">
      <w:pPr>
        <w:pStyle w:val="Standard"/>
        <w:jc w:val="both"/>
        <w:rPr>
          <w:b/>
          <w:bCs/>
        </w:rPr>
      </w:pPr>
    </w:p>
    <w:p w:rsidR="008D0532" w:rsidRDefault="003F30A9">
      <w:pPr>
        <w:pStyle w:val="Standard"/>
        <w:jc w:val="both"/>
      </w:pPr>
      <w:r>
        <w:tab/>
      </w:r>
      <w:proofErr w:type="gramStart"/>
      <w:r>
        <w:t xml:space="preserve">Проведена в соответствии со статьей 99 и 106 Федерального закона от 05.04.2013 № 44-ФЗ «О </w:t>
      </w:r>
      <w:r>
        <w:t>контрактной системе в сфере закупок товаров, работ, услуг для обеспечения государственных и муниципальных нужд» (далее – Федеральный закон N44-ФЗ, Закон о контрактной системе, Закон № 44-ФЗ) и Административным регламентом Федеральной антимонопольной службы</w:t>
      </w:r>
      <w:r>
        <w:t xml:space="preserve"> по исполнению государственной функции по рассмотрению жалоб на действия (бездействие) заказчика, уполномоченного органа, уполномоченного учреждения, специализированной</w:t>
      </w:r>
      <w:proofErr w:type="gramEnd"/>
      <w:r>
        <w:t xml:space="preserve"> организации, комиссии по осуществлению закупок, ее членов, должностного лица контрактно</w:t>
      </w:r>
      <w:r>
        <w:t>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нужд, утвержденным приказом ФАС России от 19.11.2014 № 727/14.</w:t>
      </w:r>
    </w:p>
    <w:p w:rsidR="008D0532" w:rsidRDefault="003F30A9">
      <w:pPr>
        <w:pStyle w:val="Standard"/>
        <w:jc w:val="both"/>
      </w:pPr>
      <w:r>
        <w:tab/>
      </w:r>
      <w:proofErr w:type="gramStart"/>
      <w:r>
        <w:t>Основание – жалоба и</w:t>
      </w:r>
      <w:r>
        <w:t>ндивидуального предпринимателя Коваленко Виталия Владимировича (далее – ИП Коваленко В.В., Заявитель) на действия Уполномоченного органа — Управления государственного заказа Ненецкого автономного округа (далее - Управление госзаказа НАО); Заказчика -  госу</w:t>
      </w:r>
      <w:r>
        <w:t xml:space="preserve">дарственного бюджетного учреждения здравоохранения Ненецкого автономного округа «Ненецкая окружная больница имени Р.И. </w:t>
      </w:r>
      <w:proofErr w:type="spellStart"/>
      <w:r>
        <w:t>Батмановой</w:t>
      </w:r>
      <w:proofErr w:type="spellEnd"/>
      <w:r>
        <w:t xml:space="preserve">» (далее – ГБУЗ НАО «НОБ им. Р.И. </w:t>
      </w:r>
      <w:proofErr w:type="spellStart"/>
      <w:r>
        <w:t>Батмановой</w:t>
      </w:r>
      <w:proofErr w:type="spellEnd"/>
      <w:r>
        <w:t>», Учреждение, Заказчик) при проведении электронного аукциона.</w:t>
      </w:r>
      <w:proofErr w:type="gramEnd"/>
    </w:p>
    <w:p w:rsidR="008D0532" w:rsidRDefault="003F30A9">
      <w:pPr>
        <w:pStyle w:val="parametervalue"/>
        <w:spacing w:before="0" w:after="0"/>
        <w:jc w:val="both"/>
      </w:pPr>
      <w:r>
        <w:tab/>
        <w:t xml:space="preserve">Сведения о закупке </w:t>
      </w:r>
      <w:r>
        <w:t xml:space="preserve">№ </w:t>
      </w:r>
      <w:r>
        <w:rPr>
          <w:kern w:val="0"/>
          <w:lang w:eastAsia="ru-RU"/>
        </w:rPr>
        <w:t xml:space="preserve">0184200000621000606 </w:t>
      </w:r>
      <w:r>
        <w:t xml:space="preserve"> (далее - Закупка), на которую поступила жалоба:</w:t>
      </w:r>
    </w:p>
    <w:p w:rsidR="008D0532" w:rsidRDefault="003F30A9">
      <w:pPr>
        <w:pStyle w:val="Standard"/>
        <w:jc w:val="both"/>
      </w:pPr>
      <w:r>
        <w:tab/>
        <w:t>1) Извещение о проведении электронного аукциона размещено в единой информационной системе (далее - ЕИС) – 21.10.2021, аукционная документация утверждена распоряжением Управления госуда</w:t>
      </w:r>
      <w:r>
        <w:t>рственного заказа Ненецкого автономного округа № 719 от 20 октября 2021г. и Приказом и.о. главного врача ГБУЗ НАО "Ненецкая окружная больница" № 255-З от 14.10.2021г;</w:t>
      </w:r>
    </w:p>
    <w:p w:rsidR="008D0532" w:rsidRDefault="003F30A9">
      <w:pPr>
        <w:pStyle w:val="Standard"/>
        <w:jc w:val="both"/>
      </w:pPr>
      <w:r>
        <w:tab/>
        <w:t>2) наименование объекта закупки – Поставка шприцев и игл инъекционных;</w:t>
      </w:r>
    </w:p>
    <w:p w:rsidR="008D0532" w:rsidRDefault="003F30A9">
      <w:pPr>
        <w:pStyle w:val="Standard"/>
        <w:jc w:val="both"/>
      </w:pPr>
      <w:r>
        <w:tab/>
        <w:t>3) начальная (ма</w:t>
      </w:r>
      <w:r>
        <w:t>ксимальная) цена контракта — 1 458 854,00   Российский рубль;</w:t>
      </w:r>
    </w:p>
    <w:p w:rsidR="008D0532" w:rsidRDefault="003F30A9">
      <w:pPr>
        <w:pStyle w:val="Standard"/>
        <w:jc w:val="both"/>
      </w:pPr>
      <w:r>
        <w:tab/>
        <w:t>4) способ определения поставщика (подрядчика, исполнителя) – электронный аукцион;</w:t>
      </w:r>
    </w:p>
    <w:p w:rsidR="008D0532" w:rsidRDefault="003F30A9">
      <w:pPr>
        <w:pStyle w:val="Standard"/>
        <w:jc w:val="both"/>
      </w:pPr>
      <w:r>
        <w:tab/>
        <w:t>5) дата и время окончания подачи заявок — 11.11.2021 11:00;</w:t>
      </w:r>
    </w:p>
    <w:p w:rsidR="008D0532" w:rsidRDefault="003F30A9">
      <w:pPr>
        <w:pStyle w:val="Standard"/>
        <w:jc w:val="both"/>
      </w:pPr>
      <w:r>
        <w:tab/>
        <w:t xml:space="preserve">6) дата </w:t>
      </w:r>
      <w:proofErr w:type="gramStart"/>
      <w:r>
        <w:t>окончания срока рассмотрения первых часте</w:t>
      </w:r>
      <w:r>
        <w:t>й заявок</w:t>
      </w:r>
      <w:proofErr w:type="gramEnd"/>
      <w:r>
        <w:t xml:space="preserve"> участников — 12.11.2021;</w:t>
      </w:r>
    </w:p>
    <w:p w:rsidR="008D0532" w:rsidRDefault="003F30A9">
      <w:pPr>
        <w:pStyle w:val="Standard"/>
        <w:jc w:val="both"/>
      </w:pPr>
      <w:r>
        <w:tab/>
        <w:t>7) дата проведения аукциона в электронной форме — 15.11.2021;</w:t>
      </w:r>
    </w:p>
    <w:p w:rsidR="008D0532" w:rsidRDefault="003F30A9">
      <w:pPr>
        <w:pStyle w:val="Standard"/>
        <w:ind w:firstLine="720"/>
        <w:jc w:val="both"/>
      </w:pPr>
      <w:r>
        <w:t>Срок проведения проверки: с 11 ноября 2021 года по 16 ноября 2021 года;</w:t>
      </w:r>
    </w:p>
    <w:p w:rsidR="008D0532" w:rsidRDefault="003F30A9">
      <w:pPr>
        <w:pStyle w:val="Standard"/>
        <w:ind w:firstLine="720"/>
      </w:pPr>
      <w:r>
        <w:rPr>
          <w:lang w:eastAsia="ru-RU"/>
        </w:rPr>
        <w:t>Дата рассмотрения материалов проверки – 16 ноября 2021 года.</w:t>
      </w:r>
    </w:p>
    <w:p w:rsidR="008D0532" w:rsidRDefault="003F30A9">
      <w:pPr>
        <w:pStyle w:val="Standard"/>
        <w:jc w:val="both"/>
      </w:pPr>
      <w:r>
        <w:lastRenderedPageBreak/>
        <w:tab/>
        <w:t xml:space="preserve">Рассмотрение проведено </w:t>
      </w:r>
      <w:r>
        <w:t>Комиссией Управления Федеральной антимонопольной службы по Ненецкому автономному округу (далее по тексту – Комиссия) в составе: председателя Комиссии:— руководителя Управления; членов Комиссии: — ведущего специалиста-эксперта Управления;– специалиста 1 раз</w:t>
      </w:r>
      <w:r>
        <w:t>ряда Управления, при помощи видеоконференц-связи в присутствии представителей Уполномоченного органа Заказчика, Заявителя (по доверенности). При проведении проверки и рассмотрении материалов дела №083/06/106-39/2021 Комиссия,</w:t>
      </w:r>
    </w:p>
    <w:p w:rsidR="008D0532" w:rsidRDefault="003F30A9">
      <w:pPr>
        <w:pStyle w:val="Standard"/>
        <w:jc w:val="center"/>
        <w:rPr>
          <w:color w:val="000000"/>
        </w:rPr>
      </w:pPr>
      <w:r>
        <w:rPr>
          <w:color w:val="000000"/>
        </w:rPr>
        <w:t>УСТАНОВИЛА:</w:t>
      </w:r>
    </w:p>
    <w:p w:rsidR="008D0532" w:rsidRDefault="003F30A9">
      <w:pPr>
        <w:pStyle w:val="Standard"/>
        <w:jc w:val="both"/>
      </w:pPr>
      <w:r>
        <w:tab/>
        <w:t xml:space="preserve">В Управление </w:t>
      </w:r>
      <w:r>
        <w:t xml:space="preserve">Федеральной антимонопольной службы по Ненецкому автономному округу (далее - Ненецкое УФАС России) </w:t>
      </w:r>
      <w:r>
        <w:rPr>
          <w:bCs/>
        </w:rPr>
        <w:t xml:space="preserve">посредством  единой информационно системы в сфере закупок, поступила жалоба </w:t>
      </w:r>
      <w:r>
        <w:t>(</w:t>
      </w:r>
      <w:proofErr w:type="spellStart"/>
      <w:r>
        <w:t>вх</w:t>
      </w:r>
      <w:proofErr w:type="spellEnd"/>
      <w:r>
        <w:t>. № 2552) индивидуального предпринимателя Коваленко Виталия Владимировича.</w:t>
      </w:r>
    </w:p>
    <w:p w:rsidR="008D0532" w:rsidRDefault="003F30A9">
      <w:pPr>
        <w:widowControl/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ab/>
      </w:r>
      <w:proofErr w:type="gramStart"/>
      <w:r>
        <w:rPr>
          <w:rFonts w:ascii="Times New Roman" w:hAnsi="Times New Roman" w:cs="Times New Roman"/>
          <w:kern w:val="0"/>
          <w:lang w:bidi="ar-SA"/>
        </w:rPr>
        <w:t>В ж</w:t>
      </w:r>
      <w:r>
        <w:rPr>
          <w:rFonts w:ascii="Times New Roman" w:hAnsi="Times New Roman" w:cs="Times New Roman"/>
          <w:kern w:val="0"/>
          <w:lang w:bidi="ar-SA"/>
        </w:rPr>
        <w:t>алобе ИП Коваленко В.В. указывает на ненадлежащую инструкцию по запо</w:t>
      </w:r>
      <w:r>
        <w:rPr>
          <w:rFonts w:ascii="Times New Roman" w:hAnsi="Times New Roman" w:cs="Times New Roman"/>
          <w:kern w:val="0"/>
          <w:lang w:bidi="ar-SA"/>
        </w:rPr>
        <w:t>л</w:t>
      </w:r>
      <w:r>
        <w:rPr>
          <w:rFonts w:ascii="Times New Roman" w:hAnsi="Times New Roman" w:cs="Times New Roman"/>
          <w:kern w:val="0"/>
          <w:lang w:bidi="ar-SA"/>
        </w:rPr>
        <w:t>нению заявки, отсутствие информации о характеристике шприца общего назначения, в части н</w:t>
      </w:r>
      <w:r>
        <w:rPr>
          <w:rFonts w:ascii="Times New Roman" w:eastAsia="Calibri" w:hAnsi="Times New Roman" w:cs="Times New Roman"/>
          <w:color w:val="000000"/>
        </w:rPr>
        <w:t>аименования параметра (показателя) товар</w:t>
      </w:r>
      <w:r>
        <w:rPr>
          <w:rFonts w:ascii="Times New Roman" w:eastAsia="Calibri" w:hAnsi="Times New Roman" w:cs="Times New Roman"/>
        </w:rPr>
        <w:t xml:space="preserve">а </w:t>
      </w:r>
      <w:r>
        <w:rPr>
          <w:rFonts w:ascii="Times New Roman" w:eastAsia="Calibri" w:hAnsi="Times New Roman" w:cs="Times New Roman"/>
          <w:b/>
          <w:bCs/>
        </w:rPr>
        <w:t>-  «</w:t>
      </w:r>
      <w:proofErr w:type="spellStart"/>
      <w:r>
        <w:rPr>
          <w:rFonts w:ascii="Times New Roman" w:eastAsia="Calibri" w:hAnsi="Times New Roman" w:cs="Times New Roman"/>
        </w:rPr>
        <w:t>резистентности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давлению в си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теме для обеспечения м</w:t>
      </w:r>
      <w:r>
        <w:rPr>
          <w:rFonts w:ascii="Times New Roman" w:hAnsi="Times New Roman" w:cs="Times New Roman"/>
        </w:rPr>
        <w:t xml:space="preserve">анипуляций </w:t>
      </w:r>
      <w:proofErr w:type="spellStart"/>
      <w:r>
        <w:rPr>
          <w:rFonts w:ascii="Times New Roman" w:hAnsi="Times New Roman" w:cs="Times New Roman"/>
        </w:rPr>
        <w:t>инфузии</w:t>
      </w:r>
      <w:proofErr w:type="spellEnd"/>
      <w:r>
        <w:rPr>
          <w:rFonts w:ascii="Times New Roman" w:hAnsi="Times New Roman" w:cs="Times New Roman"/>
        </w:rPr>
        <w:t xml:space="preserve"> с высокой  скоростью потока 4 бара», объ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динение в объекте закупки шприцов совместимых с насосом марки «</w:t>
      </w:r>
      <w:proofErr w:type="spellStart"/>
      <w:r>
        <w:rPr>
          <w:rFonts w:ascii="Times New Roman" w:hAnsi="Times New Roman" w:cs="Times New Roman"/>
        </w:rPr>
        <w:t>Перфузор</w:t>
      </w:r>
      <w:proofErr w:type="spellEnd"/>
      <w:r>
        <w:rPr>
          <w:rFonts w:ascii="Times New Roman" w:hAnsi="Times New Roman" w:cs="Times New Roman"/>
        </w:rPr>
        <w:t>» со шпр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цами общего назначения, недостоверную характеристику для шприцев, которые</w:t>
      </w:r>
      <w:proofErr w:type="gramEnd"/>
      <w:r>
        <w:rPr>
          <w:rFonts w:ascii="Times New Roman" w:hAnsi="Times New Roman" w:cs="Times New Roman"/>
        </w:rPr>
        <w:t xml:space="preserve"> совме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тимы со шприцевыми насосами марки «</w:t>
      </w:r>
      <w:proofErr w:type="spellStart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ерфузор</w:t>
      </w:r>
      <w:proofErr w:type="spellEnd"/>
      <w:r>
        <w:rPr>
          <w:rFonts w:ascii="Times New Roman" w:hAnsi="Times New Roman" w:cs="Times New Roman"/>
        </w:rPr>
        <w:t>», в ч</w:t>
      </w:r>
      <w:r>
        <w:rPr>
          <w:rFonts w:ascii="Times New Roman" w:hAnsi="Times New Roman" w:cs="Times New Roman"/>
          <w:color w:val="000000"/>
        </w:rPr>
        <w:t>асти «</w:t>
      </w:r>
      <w:proofErr w:type="spellStart"/>
      <w:r>
        <w:rPr>
          <w:rFonts w:ascii="Times New Roman" w:hAnsi="Times New Roman" w:cs="Times New Roman"/>
          <w:color w:val="000000"/>
        </w:rPr>
        <w:t>нутренних</w:t>
      </w:r>
      <w:proofErr w:type="spellEnd"/>
      <w:r>
        <w:rPr>
          <w:rFonts w:ascii="Times New Roman" w:hAnsi="Times New Roman" w:cs="Times New Roman"/>
          <w:color w:val="000000"/>
        </w:rPr>
        <w:t xml:space="preserve"> поверхностей шприца, включая поршень, </w:t>
      </w:r>
      <w:proofErr w:type="spellStart"/>
      <w:r>
        <w:rPr>
          <w:rFonts w:ascii="Times New Roman" w:hAnsi="Times New Roman" w:cs="Times New Roman"/>
          <w:color w:val="000000"/>
        </w:rPr>
        <w:t>смазаных</w:t>
      </w:r>
      <w:proofErr w:type="spellEnd"/>
      <w:r>
        <w:rPr>
          <w:rFonts w:ascii="Times New Roman" w:hAnsi="Times New Roman" w:cs="Times New Roman"/>
          <w:color w:val="000000"/>
        </w:rPr>
        <w:t xml:space="preserve"> смазочным материалом, </w:t>
      </w:r>
      <w:r>
        <w:rPr>
          <w:rFonts w:ascii="Times New Roman" w:hAnsi="Times New Roman" w:cs="Times New Roman"/>
          <w:i/>
          <w:color w:val="000000"/>
        </w:rPr>
        <w:t xml:space="preserve">для обеспечения плавного хода поршня в цилиндре и плавного введения лекарственных средств», </w:t>
      </w:r>
      <w:r>
        <w:rPr>
          <w:rFonts w:ascii="Times New Roman" w:hAnsi="Times New Roman" w:cs="Times New Roman"/>
        </w:rPr>
        <w:t xml:space="preserve">использование иной терминологии показателей, отличных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ГОСТ</w:t>
      </w:r>
      <w:proofErr w:type="gramEnd"/>
      <w:r>
        <w:rPr>
          <w:rFonts w:ascii="Times New Roman" w:hAnsi="Times New Roman" w:cs="Times New Roman"/>
        </w:rPr>
        <w:t>, в ч</w:t>
      </w:r>
      <w:r>
        <w:rPr>
          <w:rFonts w:ascii="Times New Roman" w:hAnsi="Times New Roman" w:cs="Times New Roman"/>
        </w:rPr>
        <w:t xml:space="preserve">асти размера игл </w:t>
      </w:r>
      <w:r>
        <w:rPr>
          <w:rFonts w:ascii="Times New Roman" w:hAnsi="Times New Roman" w:cs="Times New Roman"/>
          <w:color w:val="000000"/>
          <w:kern w:val="0"/>
          <w:lang w:bidi="ar-SA"/>
        </w:rPr>
        <w:t>инъекционных и количества игл в комплекте.</w:t>
      </w:r>
    </w:p>
    <w:p w:rsidR="008D0532" w:rsidRDefault="003F30A9">
      <w:pPr>
        <w:widowControl/>
        <w:suppressAutoHyphens w:val="0"/>
        <w:autoSpaceDE w:val="0"/>
        <w:ind w:firstLine="72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kern w:val="0"/>
          <w:lang w:bidi="ar-SA"/>
        </w:rPr>
        <w:t>Уполномоченный орган, Заказчик с доводами жалобы не согласились, представили письменные возражения на жалобу и запрашиваемые документы.</w:t>
      </w:r>
    </w:p>
    <w:p w:rsidR="008D0532" w:rsidRDefault="003F30A9">
      <w:pPr>
        <w:pStyle w:val="Standard"/>
        <w:suppressAutoHyphens w:val="0"/>
        <w:autoSpaceDE w:val="0"/>
        <w:jc w:val="both"/>
        <w:textAlignment w:val="auto"/>
      </w:pPr>
      <w:r>
        <w:rPr>
          <w:kern w:val="0"/>
          <w:lang w:eastAsia="ru-RU"/>
        </w:rPr>
        <w:tab/>
        <w:t>Комиссия, и</w:t>
      </w:r>
      <w:r>
        <w:rPr>
          <w:color w:val="000000"/>
          <w:kern w:val="0"/>
          <w:lang w:eastAsia="ru-RU"/>
        </w:rPr>
        <w:t>зучив представленные документы, заслушав пояснен</w:t>
      </w:r>
      <w:r>
        <w:rPr>
          <w:color w:val="000000"/>
          <w:kern w:val="0"/>
          <w:lang w:eastAsia="ru-RU"/>
        </w:rPr>
        <w:t>ия лиц, учас</w:t>
      </w:r>
      <w:r>
        <w:rPr>
          <w:color w:val="000000"/>
          <w:kern w:val="0"/>
          <w:lang w:eastAsia="ru-RU"/>
        </w:rPr>
        <w:t>т</w:t>
      </w:r>
      <w:r>
        <w:rPr>
          <w:color w:val="000000"/>
          <w:kern w:val="0"/>
          <w:lang w:eastAsia="ru-RU"/>
        </w:rPr>
        <w:t>вующих в рассмотрении дела, исходит из следующих   общих правовых положений.</w:t>
      </w:r>
    </w:p>
    <w:p w:rsidR="008D0532" w:rsidRDefault="003F30A9">
      <w:pPr>
        <w:widowControl/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1.  </w:t>
      </w:r>
      <w:proofErr w:type="gramStart"/>
      <w:r>
        <w:rPr>
          <w:rFonts w:ascii="Times New Roman" w:hAnsi="Times New Roman" w:cs="Times New Roman"/>
          <w:kern w:val="0"/>
          <w:lang w:bidi="ar-SA"/>
        </w:rPr>
        <w:t xml:space="preserve">В силу </w:t>
      </w:r>
      <w:hyperlink r:id="rId8" w:history="1">
        <w:r>
          <w:rPr>
            <w:rFonts w:ascii="Times New Roman" w:hAnsi="Times New Roman" w:cs="Times New Roman"/>
            <w:color w:val="0000FF"/>
            <w:kern w:val="0"/>
            <w:lang w:bidi="ar-SA"/>
          </w:rPr>
          <w:t xml:space="preserve">ч. 1 ст. </w:t>
        </w:r>
        <w:r>
          <w:rPr>
            <w:rFonts w:ascii="Times New Roman" w:hAnsi="Times New Roman" w:cs="Times New Roman"/>
            <w:color w:val="0000FF"/>
            <w:kern w:val="0"/>
            <w:lang w:bidi="ar-SA"/>
          </w:rPr>
          <w:t>59</w:t>
        </w:r>
      </w:hyperlink>
      <w:r>
        <w:rPr>
          <w:rFonts w:ascii="Times New Roman" w:hAnsi="Times New Roman" w:cs="Times New Roman"/>
          <w:kern w:val="0"/>
          <w:lang w:bidi="ar-SA"/>
        </w:rPr>
        <w:t xml:space="preserve"> Закона о контрактной системе под аукционом в электронной форме (электронным аукционом) понимается аукцион, при котором информация о закупке сообщается заказчиком неограниченному кругу лиц путем размещения в единой инфо</w:t>
      </w:r>
      <w:r>
        <w:rPr>
          <w:rFonts w:ascii="Times New Roman" w:hAnsi="Times New Roman" w:cs="Times New Roman"/>
          <w:kern w:val="0"/>
          <w:lang w:bidi="ar-SA"/>
        </w:rPr>
        <w:t>р</w:t>
      </w:r>
      <w:r>
        <w:rPr>
          <w:rFonts w:ascii="Times New Roman" w:hAnsi="Times New Roman" w:cs="Times New Roman"/>
          <w:kern w:val="0"/>
          <w:lang w:bidi="ar-SA"/>
        </w:rPr>
        <w:t xml:space="preserve">мационной системе извещения о </w:t>
      </w:r>
      <w:r>
        <w:rPr>
          <w:rFonts w:ascii="Times New Roman" w:hAnsi="Times New Roman" w:cs="Times New Roman"/>
          <w:kern w:val="0"/>
          <w:lang w:bidi="ar-SA"/>
        </w:rPr>
        <w:t>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</w:t>
      </w:r>
      <w:proofErr w:type="gramEnd"/>
      <w:r>
        <w:rPr>
          <w:rFonts w:ascii="Times New Roman" w:hAnsi="Times New Roman" w:cs="Times New Roman"/>
          <w:kern w:val="0"/>
          <w:lang w:bidi="ar-SA"/>
        </w:rPr>
        <w:t xml:space="preserve"> ее оператором.</w:t>
      </w:r>
    </w:p>
    <w:p w:rsidR="008D0532" w:rsidRDefault="003F30A9">
      <w:pPr>
        <w:pStyle w:val="Standard"/>
        <w:ind w:firstLine="540"/>
        <w:jc w:val="both"/>
      </w:pPr>
      <w:r>
        <w:t xml:space="preserve">В соответствии с </w:t>
      </w:r>
      <w:r>
        <w:rPr>
          <w:color w:val="0000FF"/>
        </w:rPr>
        <w:t>п. 2 ч. 1 ст. 64</w:t>
      </w:r>
      <w:r>
        <w:t xml:space="preserve"> Закона о к</w:t>
      </w:r>
      <w:r>
        <w:t xml:space="preserve">онтрактной системе </w:t>
      </w:r>
      <w:proofErr w:type="gramStart"/>
      <w:r>
        <w:t>документация</w:t>
      </w:r>
      <w:proofErr w:type="gramEnd"/>
      <w: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proofErr w:type="spellStart"/>
      <w:r>
        <w:rPr>
          <w:color w:val="0000FF"/>
        </w:rPr>
        <w:t>чч</w:t>
      </w:r>
      <w:proofErr w:type="spellEnd"/>
      <w:r>
        <w:rPr>
          <w:color w:val="0000FF"/>
        </w:rPr>
        <w:t>. 3</w:t>
      </w:r>
      <w:r>
        <w:t xml:space="preserve"> - </w:t>
      </w:r>
      <w:r>
        <w:rPr>
          <w:color w:val="0000FF"/>
        </w:rPr>
        <w:t>6 ст. 66</w:t>
      </w:r>
      <w:r>
        <w:t xml:space="preserve"> Закона </w:t>
      </w:r>
      <w:r>
        <w:t>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8D0532" w:rsidRDefault="003F30A9">
      <w:pPr>
        <w:pStyle w:val="Standard"/>
        <w:ind w:firstLine="540"/>
        <w:jc w:val="both"/>
      </w:pPr>
      <w:r>
        <w:t>Действующим законодательством о ко</w:t>
      </w:r>
      <w:r>
        <w:t>нтрактной системе не установлено четких критериев и требований к инструкции по заполнению заявки на участие в аукционе.</w:t>
      </w:r>
    </w:p>
    <w:p w:rsidR="008D0532" w:rsidRDefault="003F30A9">
      <w:pPr>
        <w:pStyle w:val="Standard"/>
        <w:jc w:val="both"/>
      </w:pPr>
      <w:r>
        <w:rPr>
          <w:color w:val="000000"/>
        </w:rPr>
        <w:tab/>
      </w:r>
      <w:r>
        <w:t xml:space="preserve">В соответствии с </w:t>
      </w:r>
      <w:r>
        <w:rPr>
          <w:color w:val="0000FF"/>
        </w:rPr>
        <w:t>частью 3 статьи 66</w:t>
      </w:r>
      <w:r>
        <w:t xml:space="preserve"> Закона о контрактной системе первая часть заявки на участие в электронном аукционе, за исключением </w:t>
      </w:r>
      <w:r>
        <w:t>случая, предусмотренного частью 3.1 настоящей статьи, должна содержать:</w:t>
      </w:r>
    </w:p>
    <w:p w:rsidR="008D0532" w:rsidRDefault="003F30A9">
      <w:pPr>
        <w:pStyle w:val="Standard"/>
        <w:jc w:val="both"/>
      </w:pPr>
      <w: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</w:t>
      </w:r>
      <w:r>
        <w:t xml:space="preserve">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8D0532" w:rsidRDefault="003F30A9">
      <w:pPr>
        <w:pStyle w:val="Standard"/>
        <w:jc w:val="both"/>
      </w:pPr>
      <w:r>
        <w:t>2) при осуществлении закупки товара, в том числе поставляемого заказчику при выполнении закупаемых работ, о</w:t>
      </w:r>
      <w:r>
        <w:t>казании закупаемых услуг:</w:t>
      </w:r>
    </w:p>
    <w:p w:rsidR="008D0532" w:rsidRDefault="003F30A9">
      <w:pPr>
        <w:pStyle w:val="Standard"/>
        <w:jc w:val="both"/>
      </w:pPr>
      <w:r>
        <w:t>а) наименование страны происхождения товара;</w:t>
      </w:r>
    </w:p>
    <w:p w:rsidR="008D0532" w:rsidRDefault="003F30A9">
      <w:pPr>
        <w:pStyle w:val="Standard"/>
        <w:spacing w:before="200"/>
        <w:jc w:val="both"/>
      </w:pPr>
      <w:r>
        <w:lastRenderedPageBreak/>
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</w:t>
      </w:r>
      <w:r>
        <w:t>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</w:t>
      </w:r>
      <w:r>
        <w:t>ым от товарного знака, указанного в документации об электронном аукционе.</w:t>
      </w:r>
    </w:p>
    <w:p w:rsidR="008D0532" w:rsidRDefault="003F30A9">
      <w:pPr>
        <w:pStyle w:val="Standard"/>
        <w:ind w:firstLine="540"/>
        <w:jc w:val="both"/>
      </w:pPr>
      <w:r>
        <w:t>В документации об аукционе указано, что первая часть заявки на участие в электронном аукционе должна содержать следующие сведения:</w:t>
      </w:r>
    </w:p>
    <w:p w:rsidR="008D0532" w:rsidRDefault="003F30A9">
      <w:pPr>
        <w:pStyle w:val="Standard"/>
        <w:jc w:val="both"/>
      </w:pPr>
      <w:r>
        <w:t xml:space="preserve">  - конкретные показатели товара, соответствующие з</w:t>
      </w:r>
      <w:r>
        <w:t xml:space="preserve">начениям, установленным в техническом задании части </w:t>
      </w:r>
      <w:r>
        <w:rPr>
          <w:lang w:val="en-US"/>
        </w:rPr>
        <w:t>III</w:t>
      </w:r>
      <w:r>
        <w:t xml:space="preserve"> «Технической части документации об аукционе», и указание на товарный знак (при наличии), наименование страны происхождения товара</w:t>
      </w:r>
      <w:r>
        <w:rPr>
          <w:vertAlign w:val="superscript"/>
        </w:rPr>
        <w:t>*</w:t>
      </w:r>
      <w:r>
        <w:t>.</w:t>
      </w:r>
    </w:p>
    <w:p w:rsidR="008D0532" w:rsidRDefault="003F30A9">
      <w:pPr>
        <w:pStyle w:val="Standard"/>
        <w:jc w:val="both"/>
      </w:pPr>
      <w:r>
        <w:rPr>
          <w:u w:val="single"/>
          <w:vertAlign w:val="superscript"/>
        </w:rPr>
        <w:t>*</w:t>
      </w:r>
      <w:r>
        <w:rPr>
          <w:u w:val="single"/>
        </w:rPr>
        <w:t>Примечание:</w:t>
      </w:r>
    </w:p>
    <w:p w:rsidR="008D0532" w:rsidRDefault="003F30A9">
      <w:pPr>
        <w:pStyle w:val="Standard"/>
        <w:jc w:val="both"/>
      </w:pPr>
      <w:r>
        <w:t>1. Предложение иных условий исполнения контракта не доп</w:t>
      </w:r>
      <w:r>
        <w:t>ускается.</w:t>
      </w:r>
    </w:p>
    <w:p w:rsidR="008D0532" w:rsidRDefault="003F30A9">
      <w:pPr>
        <w:pStyle w:val="Standard"/>
        <w:jc w:val="both"/>
      </w:pPr>
      <w:r>
        <w:t>2. Участник закупки указывает конкретные показатели товара. Если в наименовании и описании объекта закупки значение показателя сопровождается словами (</w:t>
      </w:r>
      <w:r>
        <w:rPr>
          <w:color w:val="000000"/>
        </w:rPr>
        <w:t>«от», «до»,</w:t>
      </w:r>
      <w:r>
        <w:t xml:space="preserve"> «не более», «не менее») участнику закупки необходимо выбрать единственное конкретно</w:t>
      </w:r>
      <w:r>
        <w:t>е значение в заданном интервале. В</w:t>
      </w:r>
      <w:r>
        <w:rPr>
          <w:color w:val="000000"/>
        </w:rPr>
        <w:t xml:space="preserve">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</w:t>
      </w:r>
      <w:r>
        <w:rPr>
          <w:color w:val="000000"/>
        </w:rPr>
        <w:t>начений.</w:t>
      </w:r>
    </w:p>
    <w:p w:rsidR="008D0532" w:rsidRDefault="003F30A9">
      <w:pPr>
        <w:pStyle w:val="Standard"/>
        <w:jc w:val="both"/>
      </w:pPr>
      <w:r>
        <w:t>3. Наименование товара должно быть указано в соответствии с регистрационным удостоверением на такой товар.</w:t>
      </w:r>
    </w:p>
    <w:p w:rsidR="008D0532" w:rsidRDefault="003F30A9">
      <w:pPr>
        <w:pStyle w:val="Standard"/>
        <w:jc w:val="both"/>
      </w:pPr>
      <w:r>
        <w:t>4. О</w:t>
      </w:r>
      <w:r>
        <w:rPr>
          <w:color w:val="000000"/>
        </w:rPr>
        <w:t>тветственность за достоверность сведений о стране происхождения товара, указанного в заявке на участие в аукционе, несет участник закупк</w:t>
      </w:r>
      <w:r>
        <w:rPr>
          <w:color w:val="000000"/>
        </w:rPr>
        <w:t>и.</w:t>
      </w:r>
    </w:p>
    <w:p w:rsidR="008D0532" w:rsidRDefault="003F30A9">
      <w:pPr>
        <w:pStyle w:val="Standard"/>
        <w:jc w:val="both"/>
        <w:rPr>
          <w:color w:val="000000"/>
        </w:rPr>
      </w:pPr>
      <w:r>
        <w:rPr>
          <w:color w:val="000000"/>
        </w:rPr>
        <w:t>5. Участниками закупки  может быть использована инструкция по заполнению 1 части заявки (приложена к документации об аукционе в виде отдельного файла).</w:t>
      </w:r>
    </w:p>
    <w:p w:rsidR="008D0532" w:rsidRDefault="003F30A9">
      <w:pPr>
        <w:pStyle w:val="Standard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Инструкция по заполнению 1 части заявки (файл «</w:t>
      </w:r>
      <w:r>
        <w:rPr>
          <w:color w:val="000000"/>
          <w:lang w:val="en-US"/>
        </w:rPr>
        <w:t>Microsoft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Document</w:t>
      </w:r>
      <w:r>
        <w:rPr>
          <w:color w:val="000000"/>
        </w:rPr>
        <w:t>») размещена в открытом доступ</w:t>
      </w:r>
      <w:r>
        <w:rPr>
          <w:color w:val="000000"/>
        </w:rPr>
        <w:t>е в единой информационно системы в сфере закупок вместе с документацией об аукционе.</w:t>
      </w:r>
      <w:proofErr w:type="gramEnd"/>
    </w:p>
    <w:p w:rsidR="008D0532" w:rsidRDefault="003F30A9">
      <w:pPr>
        <w:pStyle w:val="Standard"/>
        <w:ind w:firstLine="708"/>
        <w:jc w:val="both"/>
      </w:pPr>
      <w:proofErr w:type="gramStart"/>
      <w:r>
        <w:rPr>
          <w:color w:val="000000"/>
        </w:rPr>
        <w:t xml:space="preserve">Согласно </w:t>
      </w:r>
      <w:r>
        <w:t xml:space="preserve">Инструкции по предоставлению сведений в первой части заявки на участие в электронном аукционе </w:t>
      </w:r>
      <w:r>
        <w:rPr>
          <w:color w:val="000000"/>
        </w:rPr>
        <w:t>о конкретных показателях участник</w:t>
      </w:r>
      <w:r>
        <w:rPr>
          <w:b/>
          <w:color w:val="000000"/>
        </w:rPr>
        <w:t xml:space="preserve"> </w:t>
      </w:r>
      <w:r>
        <w:t xml:space="preserve">закупки представляет в любой </w:t>
      </w:r>
      <w:r>
        <w:t>удобной форме или по форме, рекомендованной заказчиком, информацию о конкретных показателях товара,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</w:t>
      </w:r>
      <w:r>
        <w:t>и приемке товара, а также сведения о товарном знаке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), наименовании страны происхождения товара.</w:t>
      </w:r>
    </w:p>
    <w:p w:rsidR="008D0532" w:rsidRDefault="003F30A9">
      <w:pPr>
        <w:pStyle w:val="Standard"/>
        <w:ind w:firstLine="709"/>
        <w:jc w:val="both"/>
      </w:pPr>
      <w: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</w:t>
      </w:r>
      <w:r>
        <w:t>размере, упаковке, отгрузке товара и иные сведения о товаре, представление которых предусмотрено аукционной документацией (далее – Сведения о товаре) должны содержать значения параметров товара, в соответствии с которыми заказчик осуществляет приемку товар</w:t>
      </w:r>
      <w:r>
        <w:t>а.</w:t>
      </w:r>
    </w:p>
    <w:p w:rsidR="008D0532" w:rsidRDefault="003F30A9">
      <w:pPr>
        <w:pStyle w:val="Standard"/>
        <w:ind w:firstLine="709"/>
        <w:jc w:val="both"/>
      </w:pPr>
      <w:r>
        <w:t>В случае отсутствия в нормативной документации значений по требуемым параметрам каких-либо из закупаемых товаров, то по данным параметрам в графе «Значение, предлагаемое участником» допускается предоставлять конкретные значения, либо ставить прочерк «</w:t>
      </w:r>
      <w:proofErr w:type="gramStart"/>
      <w:r>
        <w:t>-»</w:t>
      </w:r>
      <w:proofErr w:type="gramEnd"/>
      <w:r>
        <w:t>, либо указывать «не нормируется», либо указать «отсутствует».</w:t>
      </w:r>
    </w:p>
    <w:p w:rsidR="008D0532" w:rsidRDefault="003F30A9">
      <w:pPr>
        <w:pStyle w:val="Standard"/>
        <w:ind w:firstLine="709"/>
        <w:jc w:val="both"/>
      </w:pPr>
      <w:r>
        <w:t xml:space="preserve"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</w:t>
      </w:r>
      <w:r>
        <w:t>закупки указывается диапазон значений.</w:t>
      </w:r>
    </w:p>
    <w:p w:rsidR="008D0532" w:rsidRDefault="003F30A9">
      <w:pPr>
        <w:pStyle w:val="Standard"/>
        <w:ind w:firstLine="709"/>
        <w:jc w:val="both"/>
      </w:pPr>
      <w:r>
        <w:t>В форме могут быть использованы следующие знаки и обозначения:</w:t>
      </w:r>
    </w:p>
    <w:p w:rsidR="008D0532" w:rsidRDefault="003F30A9">
      <w:pPr>
        <w:pStyle w:val="Standard"/>
        <w:ind w:firstLine="709"/>
        <w:jc w:val="both"/>
      </w:pPr>
      <w:r>
        <w:lastRenderedPageBreak/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</w:t>
      </w:r>
      <w:r>
        <w:t xml:space="preserve"> в пределах указанного предельного отклонения;</w:t>
      </w:r>
    </w:p>
    <w:p w:rsidR="008D0532" w:rsidRDefault="003F30A9">
      <w:pPr>
        <w:pStyle w:val="Standard"/>
        <w:ind w:firstLine="709"/>
        <w:jc w:val="both"/>
      </w:pPr>
      <w:r>
        <w:t>Символ «&lt;» - означает что, участнику следует предоставить в заявке конкретный показатель, менее указанного значения;</w:t>
      </w:r>
    </w:p>
    <w:p w:rsidR="008D0532" w:rsidRDefault="003F30A9">
      <w:pPr>
        <w:pStyle w:val="Standard"/>
        <w:ind w:firstLine="709"/>
        <w:jc w:val="both"/>
      </w:pPr>
      <w:r>
        <w:t>Символ «&gt;» - означает что, участнику следует предоставить в заявке конкретный показатель, бо</w:t>
      </w:r>
      <w:r>
        <w:t>лее указанного значения;</w:t>
      </w:r>
    </w:p>
    <w:p w:rsidR="008D0532" w:rsidRDefault="003F30A9">
      <w:pPr>
        <w:pStyle w:val="Standard"/>
        <w:ind w:firstLine="709"/>
        <w:jc w:val="both"/>
      </w:pPr>
      <w: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8D0532" w:rsidRDefault="003F30A9">
      <w:pPr>
        <w:pStyle w:val="Standard"/>
        <w:ind w:firstLine="709"/>
        <w:jc w:val="both"/>
      </w:pPr>
      <w:r>
        <w:t>Слова «не более» - означает что, участнику следует предоставить в заявке конкретный показател</w:t>
      </w:r>
      <w:r>
        <w:t>ь, менее указанного значения или равный ему;</w:t>
      </w:r>
    </w:p>
    <w:p w:rsidR="008D0532" w:rsidRDefault="003F30A9">
      <w:pPr>
        <w:pStyle w:val="Standard"/>
        <w:ind w:firstLine="709"/>
        <w:jc w:val="both"/>
      </w:pPr>
      <w:r>
        <w:t>Слова «не уже» означает что, участнику следует указать 2 крайних значения диапазона, при этом левое значение должно быть равно или менее указанного значения, а правое - равно или более указанного значения.</w:t>
      </w:r>
    </w:p>
    <w:p w:rsidR="008D0532" w:rsidRDefault="003F30A9">
      <w:pPr>
        <w:pStyle w:val="Standard"/>
        <w:ind w:firstLine="709"/>
        <w:jc w:val="both"/>
      </w:pPr>
      <w:r>
        <w:t>Слова</w:t>
      </w:r>
      <w:r>
        <w:t xml:space="preserve"> «не шире» означает что, участнику следует указать 2 крайних значения диапазона, при этом левое значение должно быть равно или более указанного значения, а правое - равно или менее указанного значения.</w:t>
      </w:r>
    </w:p>
    <w:p w:rsidR="008D0532" w:rsidRDefault="003F30A9">
      <w:pPr>
        <w:pStyle w:val="Standard"/>
        <w:ind w:firstLine="709"/>
        <w:jc w:val="both"/>
      </w:pPr>
      <w:r>
        <w:t>Символ «≥» - означает что, участнику следует предостав</w:t>
      </w:r>
      <w:r>
        <w:t>ить в заявке конкретный показатель, более указанного значения или равный ему;</w:t>
      </w:r>
    </w:p>
    <w:p w:rsidR="008D0532" w:rsidRDefault="003F30A9">
      <w:pPr>
        <w:pStyle w:val="Standard"/>
        <w:ind w:firstLine="709"/>
        <w:jc w:val="both"/>
      </w:pPr>
      <w:r>
        <w:t>Символ «≤» - означает что, участнику следует предоставить в заявке конкретный показатель, менее указанного значения или равный ему;</w:t>
      </w:r>
    </w:p>
    <w:p w:rsidR="008D0532" w:rsidRDefault="003F30A9">
      <w:pPr>
        <w:pStyle w:val="Standard"/>
        <w:ind w:firstLine="709"/>
        <w:jc w:val="both"/>
      </w:pPr>
      <w:r>
        <w:t>Слова «Не выше» - означает что, участнику след</w:t>
      </w:r>
      <w:r>
        <w:t xml:space="preserve">ует предоставить в заявке конкретный показатель, не </w:t>
      </w:r>
      <w:proofErr w:type="gramStart"/>
      <w:r>
        <w:t>более указанного</w:t>
      </w:r>
      <w:proofErr w:type="gramEnd"/>
      <w:r>
        <w:t xml:space="preserve"> значения;</w:t>
      </w:r>
    </w:p>
    <w:p w:rsidR="008D0532" w:rsidRDefault="003F30A9">
      <w:pPr>
        <w:pStyle w:val="Standard"/>
        <w:ind w:firstLine="709"/>
        <w:jc w:val="both"/>
      </w:pPr>
      <w:r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>
        <w:t>менее указанного</w:t>
      </w:r>
      <w:proofErr w:type="gramEnd"/>
      <w:r>
        <w:t xml:space="preserve"> значения;</w:t>
      </w:r>
    </w:p>
    <w:p w:rsidR="008D0532" w:rsidRDefault="003F30A9">
      <w:pPr>
        <w:pStyle w:val="Standard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символы «±», «&lt;», «&gt;», «≥», «≤» устанавлив</w:t>
      </w:r>
      <w:r>
        <w:t>аются в требуемом значении Сведений о товарах слева от числового значения показателя.</w:t>
      </w:r>
    </w:p>
    <w:p w:rsidR="008D0532" w:rsidRDefault="003F30A9">
      <w:pPr>
        <w:pStyle w:val="Standard"/>
        <w:ind w:firstLine="709"/>
        <w:jc w:val="both"/>
      </w:pPr>
      <w:r>
        <w:t>Ответственность за достоверность сведений о конкретных показателях используемого товара, товарном знаке (при наличии), наименовании страны происхождения товара, указанног</w:t>
      </w:r>
      <w:r>
        <w:t>о в первой части заявки на участие в аукционе в электронной форме, несет участник закупки.</w:t>
      </w:r>
    </w:p>
    <w:p w:rsidR="008D0532" w:rsidRDefault="003F30A9">
      <w:pPr>
        <w:pStyle w:val="Standard"/>
        <w:ind w:firstLine="708"/>
        <w:jc w:val="both"/>
      </w:pPr>
      <w:proofErr w:type="gramStart"/>
      <w: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указания в документации о </w:t>
      </w:r>
      <w:r>
        <w:t>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</w:t>
      </w:r>
      <w:r>
        <w:t>ветствии с технической документацией на указанные машины</w:t>
      </w:r>
      <w:proofErr w:type="gramEnd"/>
      <w:r>
        <w:t xml:space="preserve"> и оборудование.</w:t>
      </w:r>
    </w:p>
    <w:p w:rsidR="008D0532" w:rsidRDefault="003F30A9">
      <w:pPr>
        <w:pStyle w:val="Standard"/>
        <w:ind w:firstLine="708"/>
        <w:jc w:val="both"/>
      </w:pPr>
      <w:r>
        <w:rPr>
          <w:color w:val="000000"/>
        </w:rPr>
        <w:t>При этом в п. 1 технического задания к показателю «</w:t>
      </w:r>
      <w:r>
        <w:rPr>
          <w:color w:val="000000"/>
          <w:shd w:val="clear" w:color="auto" w:fill="FFFFFF"/>
        </w:rPr>
        <w:t>О</w:t>
      </w:r>
      <w:r>
        <w:rPr>
          <w:rFonts w:eastAsia="SimSun-ExtB"/>
          <w:color w:val="000000"/>
        </w:rPr>
        <w:t>бщая длина шкалы до отметки номинальной вместимости</w:t>
      </w:r>
      <w:r>
        <w:rPr>
          <w:color w:val="000000"/>
        </w:rPr>
        <w:t xml:space="preserve">» </w:t>
      </w:r>
      <w:r>
        <w:rPr>
          <w:rFonts w:eastAsia="Calibri"/>
          <w:color w:val="000000"/>
          <w:lang w:bidi="hi-IN"/>
        </w:rPr>
        <w:t>требуемое значение, установленное Заказчиком</w:t>
      </w:r>
      <w:r>
        <w:rPr>
          <w:color w:val="000000"/>
        </w:rPr>
        <w:t xml:space="preserve"> - от 57 мм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казано в соответстви</w:t>
      </w:r>
      <w:r>
        <w:rPr>
          <w:color w:val="000000"/>
        </w:rPr>
        <w:t xml:space="preserve">и с </w:t>
      </w:r>
      <w:r>
        <w:rPr>
          <w:rFonts w:eastAsia="SimSun-ExtB"/>
          <w:color w:val="000000"/>
        </w:rPr>
        <w:t xml:space="preserve">ГОСТ </w:t>
      </w:r>
      <w:r>
        <w:rPr>
          <w:color w:val="000000"/>
          <w:lang w:val="en-US"/>
        </w:rPr>
        <w:t>ISO</w:t>
      </w:r>
      <w:r>
        <w:rPr>
          <w:color w:val="000000"/>
        </w:rPr>
        <w:t xml:space="preserve"> </w:t>
      </w:r>
      <w:r>
        <w:rPr>
          <w:rFonts w:eastAsia="SimSun-ExtB"/>
          <w:color w:val="000000"/>
        </w:rPr>
        <w:t xml:space="preserve">8537-2011, </w:t>
      </w:r>
      <w:r>
        <w:rPr>
          <w:color w:val="000000"/>
        </w:rPr>
        <w:t xml:space="preserve">в п. 2 - «Номинальная вместимость шприцов туберкулиновый/ для </w:t>
      </w:r>
      <w:proofErr w:type="spellStart"/>
      <w:r>
        <w:rPr>
          <w:color w:val="000000"/>
        </w:rPr>
        <w:t>аллергологических</w:t>
      </w:r>
      <w:proofErr w:type="spellEnd"/>
      <w:r>
        <w:rPr>
          <w:color w:val="000000"/>
        </w:rPr>
        <w:t xml:space="preserve"> проб/ в комплекте с иглой, стандартный» — до 1 ГОСТ ИСО 7886-1-2011 указано в соответствии с </w:t>
      </w:r>
      <w:r>
        <w:rPr>
          <w:rFonts w:eastAsia="SimSun-ExtB"/>
          <w:color w:val="000000"/>
        </w:rPr>
        <w:t xml:space="preserve">ГОСТ </w:t>
      </w:r>
      <w:r>
        <w:rPr>
          <w:color w:val="000000"/>
          <w:lang w:val="en-US"/>
        </w:rPr>
        <w:t>ISO</w:t>
      </w:r>
      <w:r>
        <w:rPr>
          <w:color w:val="000000"/>
        </w:rPr>
        <w:t xml:space="preserve"> </w:t>
      </w:r>
      <w:r>
        <w:rPr>
          <w:rFonts w:eastAsia="SimSun-ExtB"/>
          <w:color w:val="000000"/>
        </w:rPr>
        <w:t>8537-2011, в п. 4 - «О</w:t>
      </w:r>
      <w:r>
        <w:rPr>
          <w:rFonts w:eastAsia="SimSun-ExtB"/>
          <w:color w:val="000000"/>
          <w:shd w:val="clear" w:color="auto" w:fill="FFFFFF"/>
        </w:rPr>
        <w:t xml:space="preserve">бщая </w:t>
      </w:r>
      <w:r>
        <w:rPr>
          <w:color w:val="000000"/>
          <w:shd w:val="clear" w:color="auto" w:fill="FFFFFF"/>
        </w:rPr>
        <w:t xml:space="preserve">длина шкалы до отметки </w:t>
      </w:r>
      <w:r>
        <w:rPr>
          <w:color w:val="000000"/>
          <w:shd w:val="clear" w:color="auto" w:fill="FFFFFF"/>
        </w:rPr>
        <w:t xml:space="preserve">номинальной вместимости» от 75 указаны в соответствии ГОСТ ИСО 7886-1-2011, в п. 10 - «Общая длина шкалы до отметки номинальной вместимости» от 75 мм установлено </w:t>
      </w:r>
      <w:r>
        <w:rPr>
          <w:color w:val="000000"/>
        </w:rPr>
        <w:t xml:space="preserve"> соответствии с ГОСТ ISO 7886-1-2011.</w:t>
      </w:r>
    </w:p>
    <w:p w:rsidR="008D0532" w:rsidRDefault="003F30A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Согласно толковому словарю Ожегова «или» – союз одиночны</w:t>
      </w:r>
      <w:r>
        <w:rPr>
          <w:color w:val="000000"/>
        </w:rPr>
        <w:t xml:space="preserve">й или повторяющийся, выражение необходимого выбора чего-нибудь одного, одно из двух; предлог «от» –  указывает на исходную точку чего-нибудь, указывает на источник чего-нибудь, указывает на непосредственную связь с чем-нибудь, указывает на другой предмет, </w:t>
      </w:r>
      <w:r>
        <w:rPr>
          <w:color w:val="000000"/>
        </w:rPr>
        <w:t xml:space="preserve">который противопоставляется первому. Согласно толковому словарю Ушакова «и» – союз соединительный. </w:t>
      </w:r>
      <w:proofErr w:type="gramStart"/>
      <w:r>
        <w:rPr>
          <w:color w:val="000000"/>
        </w:rPr>
        <w:t xml:space="preserve">Употребляется для соединения однородных членов предложения или </w:t>
      </w:r>
      <w:r>
        <w:rPr>
          <w:color w:val="000000"/>
        </w:rPr>
        <w:lastRenderedPageBreak/>
        <w:t>целых предложений как главных, так и придаточных, употребляется в значении частицы, одновремен</w:t>
      </w:r>
      <w:r>
        <w:rPr>
          <w:color w:val="000000"/>
        </w:rPr>
        <w:t>но и присоединительной и усилительной, соединяя в себе значения и "еще" и "даже"; предлог «до» - употребляется для указания на расстояние между какими-нибудь пунктами, отделяющее один пункт от другого, употребляется для указания предела, степени какого-ниб</w:t>
      </w:r>
      <w:r>
        <w:rPr>
          <w:color w:val="000000"/>
        </w:rPr>
        <w:t>удь качества, действия.</w:t>
      </w:r>
      <w:proofErr w:type="gramEnd"/>
    </w:p>
    <w:p w:rsidR="008D0532" w:rsidRDefault="003F30A9">
      <w:pPr>
        <w:pStyle w:val="Standard"/>
        <w:ind w:firstLine="708"/>
        <w:jc w:val="both"/>
      </w:pPr>
      <w:proofErr w:type="gramStart"/>
      <w:r>
        <w:rPr>
          <w:color w:val="000000"/>
        </w:rPr>
        <w:t xml:space="preserve">Таким образом, </w:t>
      </w:r>
      <w:r>
        <w:t xml:space="preserve"> </w:t>
      </w:r>
      <w:r>
        <w:rPr>
          <w:color w:val="000000"/>
        </w:rPr>
        <w:t>употребление в техническом задании союза «или», «и», «от», «до» - не имеет особенной трактовки, отличающейся от общепринятой, согласно назначению в грамматике русского языка.</w:t>
      </w:r>
      <w:proofErr w:type="gramEnd"/>
    </w:p>
    <w:p w:rsidR="008D0532" w:rsidRDefault="003F30A9">
      <w:pPr>
        <w:pStyle w:val="Standard"/>
        <w:ind w:firstLine="708"/>
        <w:jc w:val="both"/>
      </w:pPr>
      <w:r>
        <w:rPr>
          <w:color w:val="000000"/>
        </w:rPr>
        <w:t>Кроме того, в столбцах «</w:t>
      </w:r>
      <w:r>
        <w:rPr>
          <w:rFonts w:eastAsia="Calibri"/>
          <w:color w:val="000000"/>
          <w:lang w:bidi="hi-IN"/>
        </w:rPr>
        <w:t>Требуемое значени</w:t>
      </w:r>
      <w:r>
        <w:rPr>
          <w:rFonts w:eastAsia="Calibri"/>
          <w:color w:val="000000"/>
          <w:lang w:bidi="hi-IN"/>
        </w:rPr>
        <w:t>е», Заказчиком указано также на предоставление конкретных показателей товара.</w:t>
      </w:r>
    </w:p>
    <w:p w:rsidR="008D0532" w:rsidRDefault="003F30A9">
      <w:pPr>
        <w:pStyle w:val="Standard"/>
        <w:ind w:firstLine="708"/>
        <w:jc w:val="both"/>
      </w:pPr>
      <w:r>
        <w:rPr>
          <w:rFonts w:eastAsia="Calibri"/>
          <w:color w:val="000000"/>
          <w:lang w:bidi="hi-IN"/>
        </w:rPr>
        <w:t xml:space="preserve">На основании изложенного, Комиссия приходит к выводу, что довод Заявителя об установлении </w:t>
      </w:r>
      <w:r>
        <w:rPr>
          <w:rFonts w:eastAsia="Calibri"/>
          <w:color w:val="000000"/>
          <w:kern w:val="0"/>
        </w:rPr>
        <w:t>ненадлежащей инструкции по заполнению заявки не нашел своего подтверждения.</w:t>
      </w:r>
    </w:p>
    <w:p w:rsidR="008D0532" w:rsidRDefault="003F30A9">
      <w:pPr>
        <w:pStyle w:val="Standard"/>
        <w:ind w:firstLine="708"/>
        <w:jc w:val="both"/>
      </w:pPr>
      <w:r>
        <w:rPr>
          <w:color w:val="000000"/>
        </w:rPr>
        <w:t>2. Заявитель</w:t>
      </w:r>
      <w:r>
        <w:rPr>
          <w:color w:val="000000"/>
        </w:rPr>
        <w:t xml:space="preserve"> указывает на то, что шприц </w:t>
      </w:r>
      <w:r>
        <w:rPr>
          <w:rFonts w:eastAsia="Calibri"/>
          <w:bCs/>
          <w:color w:val="000000"/>
          <w:lang w:bidi="hi-IN"/>
        </w:rPr>
        <w:t>общего назначения (</w:t>
      </w:r>
      <w:r>
        <w:rPr>
          <w:rFonts w:eastAsia="Calibri"/>
          <w:bCs/>
          <w:color w:val="000000"/>
          <w:shd w:val="clear" w:color="auto" w:fill="FFFFFF"/>
          <w:lang w:bidi="hi-IN"/>
        </w:rPr>
        <w:t>3-</w:t>
      </w:r>
      <w:r>
        <w:rPr>
          <w:color w:val="000000"/>
          <w:shd w:val="clear" w:color="auto" w:fill="FFFFFF"/>
        </w:rPr>
        <w:t xml:space="preserve">х компонентный, </w:t>
      </w:r>
      <w:r>
        <w:rPr>
          <w:rFonts w:eastAsia="Calibri"/>
          <w:bCs/>
          <w:color w:val="000000"/>
          <w:lang w:bidi="hi-IN"/>
        </w:rPr>
        <w:t xml:space="preserve">20 мл) может иметь </w:t>
      </w:r>
      <w:proofErr w:type="spellStart"/>
      <w:r>
        <w:rPr>
          <w:rFonts w:eastAsia="Calibri"/>
          <w:lang w:bidi="hi-IN"/>
        </w:rPr>
        <w:t>резистентность</w:t>
      </w:r>
      <w:proofErr w:type="spellEnd"/>
      <w:r>
        <w:rPr>
          <w:rFonts w:eastAsia="Calibri"/>
          <w:lang w:bidi="hi-IN"/>
        </w:rPr>
        <w:t xml:space="preserve"> </w:t>
      </w:r>
      <w:r>
        <w:t xml:space="preserve">к давлению в системе для обеспечения манипуляций </w:t>
      </w:r>
      <w:proofErr w:type="spellStart"/>
      <w:r>
        <w:t>инфузии</w:t>
      </w:r>
      <w:proofErr w:type="spellEnd"/>
      <w:r>
        <w:t xml:space="preserve"> с высокой скоростью потока — 2 бара.</w:t>
      </w:r>
    </w:p>
    <w:p w:rsidR="008D0532" w:rsidRDefault="003F30A9">
      <w:pPr>
        <w:pStyle w:val="Standard"/>
        <w:ind w:firstLine="708"/>
        <w:jc w:val="both"/>
      </w:pPr>
      <w:r>
        <w:t>Однако, согласно инструкции по эксплуатации с насосами производ</w:t>
      </w:r>
      <w:r>
        <w:t xml:space="preserve">ства </w:t>
      </w:r>
      <w:r>
        <w:rPr>
          <w:lang w:val="en-US"/>
        </w:rPr>
        <w:t>B</w:t>
      </w:r>
      <w:r>
        <w:t xml:space="preserve">. </w:t>
      </w:r>
      <w:r>
        <w:rPr>
          <w:lang w:val="en-US"/>
        </w:rPr>
        <w:t>Braun</w:t>
      </w:r>
      <w:r>
        <w:t xml:space="preserve"> </w:t>
      </w:r>
      <w:proofErr w:type="spellStart"/>
      <w:r>
        <w:rPr>
          <w:lang w:val="en-US"/>
        </w:rPr>
        <w:t>Melsungen</w:t>
      </w:r>
      <w:proofErr w:type="spellEnd"/>
      <w:r>
        <w:t xml:space="preserve"> </w:t>
      </w:r>
      <w:r>
        <w:rPr>
          <w:lang w:val="en-US"/>
        </w:rPr>
        <w:t>AG</w:t>
      </w:r>
      <w:r>
        <w:t xml:space="preserve"> совместимы трехкомпонентные шприцы «</w:t>
      </w:r>
      <w:proofErr w:type="spellStart"/>
      <w:r>
        <w:t>Омнификс</w:t>
      </w:r>
      <w:proofErr w:type="spellEnd"/>
      <w:r>
        <w:t>» и «</w:t>
      </w:r>
      <w:proofErr w:type="spellStart"/>
      <w:r>
        <w:t>Перфузор</w:t>
      </w:r>
      <w:proofErr w:type="spellEnd"/>
      <w:r>
        <w:t xml:space="preserve">» объемов 20 и 50 мл, которые имеют </w:t>
      </w:r>
      <w:proofErr w:type="spellStart"/>
      <w:r>
        <w:t>резистентность</w:t>
      </w:r>
      <w:proofErr w:type="spellEnd"/>
      <w:r>
        <w:t xml:space="preserve"> к давлению 4 бара/2944 </w:t>
      </w:r>
      <w:r>
        <w:rPr>
          <w:lang w:val="en-US"/>
        </w:rPr>
        <w:t>mmHg</w:t>
      </w:r>
      <w:r>
        <w:t>.</w:t>
      </w:r>
    </w:p>
    <w:p w:rsidR="008D0532" w:rsidRDefault="003F30A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Заказчик пояснил, что </w:t>
      </w:r>
      <w:proofErr w:type="spellStart"/>
      <w:r>
        <w:rPr>
          <w:color w:val="000000"/>
        </w:rPr>
        <w:t>резистентность</w:t>
      </w:r>
      <w:proofErr w:type="spellEnd"/>
      <w:r>
        <w:rPr>
          <w:color w:val="000000"/>
        </w:rPr>
        <w:t xml:space="preserve"> к давлению системы не ниже 4 бар является важным показа</w:t>
      </w:r>
      <w:r>
        <w:rPr>
          <w:color w:val="000000"/>
        </w:rPr>
        <w:t xml:space="preserve">телем, позволяющим обеспечить манипуляции </w:t>
      </w:r>
      <w:proofErr w:type="spellStart"/>
      <w:r>
        <w:rPr>
          <w:color w:val="000000"/>
        </w:rPr>
        <w:t>инфузии</w:t>
      </w:r>
      <w:proofErr w:type="spellEnd"/>
      <w:r>
        <w:rPr>
          <w:color w:val="000000"/>
        </w:rPr>
        <w:t xml:space="preserve"> с высокой скоростью потока. В случае невозможности шприцов поддерживать сопротивление к такому давлению может произойти нарушение подачи лекарственных средств пациенту в количестве, назначенном врачом, либо</w:t>
      </w:r>
      <w:r>
        <w:rPr>
          <w:color w:val="000000"/>
        </w:rPr>
        <w:t xml:space="preserve"> к летальному исходу.  </w:t>
      </w:r>
    </w:p>
    <w:p w:rsidR="008D0532" w:rsidRDefault="003F30A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Указанная характеристика предоставляется либо в паспорте на изделие, либо при официальном запросе у производителя, также значение </w:t>
      </w:r>
      <w:proofErr w:type="spellStart"/>
      <w:r>
        <w:rPr>
          <w:color w:val="000000"/>
        </w:rPr>
        <w:t>резистентности</w:t>
      </w:r>
      <w:proofErr w:type="spellEnd"/>
      <w:r>
        <w:rPr>
          <w:color w:val="000000"/>
        </w:rPr>
        <w:t xml:space="preserve"> зачастую указываются производителями или поставщиками товаров в сети Интернет.</w:t>
      </w:r>
    </w:p>
    <w:p w:rsidR="008D0532" w:rsidRDefault="003F30A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Таким </w:t>
      </w:r>
      <w:r>
        <w:rPr>
          <w:color w:val="000000"/>
        </w:rPr>
        <w:t xml:space="preserve">образом, участник обладает достаточной информацией для подачи заявки, а приемка товара осуществляется Заказчиком в соответствии с документами, передвигающимися 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поставки товара.</w:t>
      </w:r>
    </w:p>
    <w:p w:rsidR="008D0532" w:rsidRDefault="003F30A9">
      <w:pPr>
        <w:pStyle w:val="Standard"/>
        <w:ind w:firstLine="708"/>
        <w:jc w:val="both"/>
      </w:pPr>
      <w:r>
        <w:t xml:space="preserve">3. На основании </w:t>
      </w:r>
      <w:r>
        <w:rPr>
          <w:color w:val="0000FF"/>
        </w:rPr>
        <w:t>пункта 1 части 1 статьи 33</w:t>
      </w:r>
      <w:r>
        <w:t xml:space="preserve"> ФЗ "О контрактной системе" Зака</w:t>
      </w:r>
      <w:r>
        <w:t>зчик при описании в документации о закупке объекта закупки должен руководствоваться следующими правилами: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</w:t>
      </w:r>
      <w:r>
        <w:t xml:space="preserve">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</w:t>
      </w:r>
      <w:r>
        <w:t xml:space="preserve">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>
        <w:t>Допускается использование в описании объекта закупки указания на товарный знак при условии сопровож</w:t>
      </w:r>
      <w:r>
        <w:t>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</w:t>
      </w:r>
      <w:r>
        <w:t>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>
        <w:t xml:space="preserve"> указанные машины и оборудование.</w:t>
      </w:r>
    </w:p>
    <w:p w:rsidR="008D0532" w:rsidRDefault="003F30A9">
      <w:pPr>
        <w:pStyle w:val="Standard"/>
        <w:ind w:firstLine="708"/>
        <w:jc w:val="both"/>
      </w:pPr>
      <w:proofErr w:type="gramStart"/>
      <w:r>
        <w:t xml:space="preserve">Согласно </w:t>
      </w:r>
      <w:r>
        <w:rPr>
          <w:color w:val="0000FF"/>
        </w:rPr>
        <w:t>пункту 2 части 1 статьи 33</w:t>
      </w:r>
      <w:r>
        <w:t xml:space="preserve"> ФЗ "О контрактной системе" Заказчик при описании в д</w:t>
      </w:r>
      <w:r>
        <w:t>окументации о закупке объекта закупки должен руководствоваться следующими правилами: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</w:t>
      </w:r>
      <w:r>
        <w:t xml:space="preserve">арактеристик (потребительских свойств) товара, работы, услуги и качественных характеристик объекта закупки, которые </w:t>
      </w:r>
      <w:r>
        <w:lastRenderedPageBreak/>
        <w:t>предусмотрены техническими регламентами, принятыми в соответствии с законодательством</w:t>
      </w:r>
      <w:proofErr w:type="gramEnd"/>
      <w:r>
        <w:t xml:space="preserve"> Российской Федерации о техническом регулировании, доку</w:t>
      </w:r>
      <w:r>
        <w:t>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</w:t>
      </w:r>
      <w:r>
        <w:t>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</w:t>
      </w:r>
      <w:r>
        <w:t>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8D0532" w:rsidRDefault="003F30A9">
      <w:pPr>
        <w:pStyle w:val="Standard"/>
        <w:ind w:firstLine="708"/>
        <w:jc w:val="both"/>
      </w:pPr>
      <w:r>
        <w:t xml:space="preserve">Согласно </w:t>
      </w:r>
      <w:r>
        <w:rPr>
          <w:color w:val="0000FF"/>
        </w:rPr>
        <w:t>части 2 стать</w:t>
      </w:r>
      <w:r>
        <w:rPr>
          <w:color w:val="0000FF"/>
        </w:rPr>
        <w:t>и 33</w:t>
      </w:r>
      <w:r>
        <w:t xml:space="preserve"> ФЗ "О контрактной системе", документация о закупке в соответствии с требованиями, указанными в </w:t>
      </w:r>
      <w:r>
        <w:rPr>
          <w:color w:val="0000FF"/>
        </w:rPr>
        <w:t>части 1 данной статьи</w:t>
      </w:r>
      <w:r>
        <w:t>, должна содержать показатели, позволяющие определить соответствие закупаемых товара, работы, услуги установленным заказчиком требовани</w:t>
      </w:r>
      <w:r>
        <w:t>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8D0532" w:rsidRDefault="003F30A9">
      <w:pPr>
        <w:pStyle w:val="Standard"/>
        <w:ind w:firstLine="708"/>
        <w:jc w:val="both"/>
      </w:pPr>
      <w:r>
        <w:t xml:space="preserve">Исходя из смысла </w:t>
      </w:r>
      <w:r>
        <w:rPr>
          <w:color w:val="0000FF"/>
        </w:rPr>
        <w:t>частей 1</w:t>
      </w:r>
      <w:r>
        <w:t xml:space="preserve"> и </w:t>
      </w:r>
      <w:r>
        <w:rPr>
          <w:color w:val="0000FF"/>
        </w:rPr>
        <w:t>2 статьи 33</w:t>
      </w:r>
      <w:r>
        <w:t xml:space="preserve"> ФЗ "О контрактной системе", потребности Заказчика являются определяющим</w:t>
      </w:r>
      <w:r>
        <w:t xml:space="preserve"> фактором при установлении им соответствующих требований. При осуществлении закупки Заказчик вправе не только выбрать ее предмет, но и обязан определить его и описать в соответствии с нормами </w:t>
      </w:r>
      <w:r>
        <w:rPr>
          <w:color w:val="0000FF"/>
        </w:rPr>
        <w:t>ФЗ</w:t>
      </w:r>
      <w:r>
        <w:t xml:space="preserve"> "О контрактной системе" именно таким образом, чтобы участник </w:t>
      </w:r>
      <w:r>
        <w:t xml:space="preserve">закупки смог подать заявку на участие в торгах, соответствующую объективным и обоснованным требованиям Заказчика. </w:t>
      </w:r>
      <w:r>
        <w:rPr>
          <w:color w:val="0000FF"/>
        </w:rPr>
        <w:t>ФЗ</w:t>
      </w:r>
      <w:r>
        <w:t xml:space="preserve"> "О контрактной системе" не содержит норм, обязывающих заказчика устанавливать в документации, вопреки его потребностям, такие требования к </w:t>
      </w:r>
      <w:r>
        <w:t>характеристикам объекта закупки, которые соответствовали бы всем существующим видам товаров.</w:t>
      </w:r>
    </w:p>
    <w:p w:rsidR="008D0532" w:rsidRDefault="003F30A9">
      <w:pPr>
        <w:pStyle w:val="Standard"/>
        <w:ind w:firstLine="708"/>
        <w:jc w:val="both"/>
      </w:pPr>
      <w:r>
        <w:t xml:space="preserve">Вместе с тем, </w:t>
      </w:r>
      <w:r>
        <w:rPr>
          <w:color w:val="0000FF"/>
        </w:rPr>
        <w:t>ФЗ</w:t>
      </w:r>
      <w:r>
        <w:t xml:space="preserve"> "О контрактной системе" не предусмотрено ограничений по включению в аукционную документацию требований к товару, являющихся значимыми для заказчик</w:t>
      </w:r>
      <w:r>
        <w:t>а, которые отвечают его потребностям и необходимы для выполнения соответствующих государственных или муниципальных функций; не предусмотрена и обязанность заказчика обосновывать свои потребности при установлении требований к поставляемому товару. Более тог</w:t>
      </w:r>
      <w:r>
        <w:t>о, указание в документации конкретных характеристик поставляемого товара предусмотрено законодательством о закупках. Ограничивает усмотрение заказчика только требование о недопустимости ограничения конкуренции.</w:t>
      </w:r>
    </w:p>
    <w:p w:rsidR="008D0532" w:rsidRDefault="003F30A9">
      <w:pPr>
        <w:pStyle w:val="Standard"/>
        <w:ind w:firstLine="708"/>
        <w:jc w:val="both"/>
      </w:pPr>
      <w:r>
        <w:t>В части II</w:t>
      </w:r>
      <w:r>
        <w:rPr>
          <w:lang w:val="en-US"/>
        </w:rPr>
        <w:t>I</w:t>
      </w:r>
      <w:r>
        <w:t xml:space="preserve"> технической части документации со</w:t>
      </w:r>
      <w:r>
        <w:t>держится описание объекта закупки, в том числе: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"/>
        <w:gridCol w:w="2494"/>
        <w:gridCol w:w="2669"/>
        <w:gridCol w:w="737"/>
        <w:gridCol w:w="3113"/>
      </w:tblGrid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№</w:t>
            </w:r>
          </w:p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lang w:bidi="hi-IN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lang w:bidi="hi-IN"/>
              </w:rPr>
              <w:t>/</w:t>
            </w:r>
            <w:proofErr w:type="spellStart"/>
            <w:r>
              <w:rPr>
                <w:rFonts w:eastAsia="Calibri"/>
                <w:color w:val="000000"/>
                <w:lang w:bidi="hi-IN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Наименование товара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Наименование параметра (показателя) товара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 xml:space="preserve">Ед. </w:t>
            </w:r>
            <w:proofErr w:type="spellStart"/>
            <w:r>
              <w:rPr>
                <w:rFonts w:eastAsia="Calibri"/>
                <w:color w:val="000000"/>
                <w:lang w:bidi="hi-IN"/>
              </w:rPr>
              <w:t>изм</w:t>
            </w:r>
            <w:proofErr w:type="spellEnd"/>
            <w:r>
              <w:rPr>
                <w:rFonts w:eastAsia="Calibri"/>
                <w:color w:val="000000"/>
                <w:lang w:bidi="hi-IN"/>
              </w:rPr>
              <w:t>.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color w:val="000000"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Требуемое значение, установленное Заказчиком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</w:pPr>
            <w:r>
              <w:t>3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Шприц общего назначения</w:t>
            </w:r>
          </w:p>
          <w:p w:rsidR="008D0532" w:rsidRDefault="003F30A9">
            <w:pPr>
              <w:pStyle w:val="Standard"/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3 100 шт.</w:t>
            </w:r>
          </w:p>
          <w:p w:rsidR="008D0532" w:rsidRDefault="003F30A9">
            <w:pPr>
              <w:pStyle w:val="Standard"/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Код КТРУ - 32.50.13.110-00004564</w:t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</w:pPr>
            <w:r>
              <w:rPr>
                <w:color w:val="000000"/>
              </w:rPr>
              <w:t>Шприц совместим</w:t>
            </w:r>
            <w:r>
              <w:rPr>
                <w:color w:val="000000"/>
              </w:rPr>
              <w:t xml:space="preserve"> с насосами марки </w:t>
            </w:r>
            <w:proofErr w:type="spellStart"/>
            <w:r>
              <w:rPr>
                <w:color w:val="000000"/>
              </w:rPr>
              <w:t>Перфузор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который имеется у заказчика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8D0532">
            <w:pPr>
              <w:pStyle w:val="TableContents"/>
            </w:pP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</w:tbl>
    <w:p w:rsidR="008D0532" w:rsidRDefault="003F30A9">
      <w:pPr>
        <w:pStyle w:val="Standard"/>
        <w:ind w:firstLine="540"/>
        <w:jc w:val="both"/>
      </w:pPr>
      <w:r>
        <w:t xml:space="preserve">Уполномоченным органом пояснено, что установление  данных характеристик товара обусловлено потребностями Заказчика, и допустимо в целях обеспечения их взаимодействия с товарами </w:t>
      </w:r>
      <w:r>
        <w:t xml:space="preserve">используемыми заказчиком (пункт 1 части 1 статьи 33 Федерального закона от 05.04.2013 № 44-ФЗ «О контактной системе в сфере закупок товаров, работ, слуг для обеспечения государственных и муниципальных нужд»). </w:t>
      </w:r>
      <w:r>
        <w:lastRenderedPageBreak/>
        <w:t>Указанные товары находятся в свободном гражданс</w:t>
      </w:r>
      <w:r>
        <w:t>ком обороте, любой потенциальный участник закупки имеет возможность предложить их к поставке в рамках закупки.</w:t>
      </w:r>
    </w:p>
    <w:p w:rsidR="008D0532" w:rsidRDefault="003F30A9">
      <w:pPr>
        <w:pStyle w:val="Standard"/>
        <w:ind w:firstLine="540"/>
        <w:jc w:val="both"/>
      </w:pPr>
      <w:r>
        <w:t>Заказчиком получены три коммерческих предложения от поставщиков: ООО «</w:t>
      </w:r>
      <w:proofErr w:type="spellStart"/>
      <w:r>
        <w:t>Б-Мед</w:t>
      </w:r>
      <w:proofErr w:type="spellEnd"/>
      <w:r>
        <w:t>», ООО "</w:t>
      </w:r>
      <w:proofErr w:type="spellStart"/>
      <w:r>
        <w:t>МедГарант</w:t>
      </w:r>
      <w:proofErr w:type="spellEnd"/>
      <w:r>
        <w:t xml:space="preserve">", ООО "Торговый дом БМБ", </w:t>
      </w:r>
      <w:proofErr w:type="gramStart"/>
      <w:r>
        <w:t>что</w:t>
      </w:r>
      <w:proofErr w:type="gramEnd"/>
      <w:r>
        <w:t xml:space="preserve"> по его мнению свидетел</w:t>
      </w:r>
      <w:r>
        <w:t>ьствует об отсутствии  ограничения количества участников закупки.</w:t>
      </w:r>
    </w:p>
    <w:p w:rsidR="008D0532" w:rsidRDefault="003F30A9">
      <w:pPr>
        <w:pStyle w:val="Standard"/>
        <w:ind w:firstLine="540"/>
        <w:jc w:val="both"/>
      </w:pPr>
      <w:r>
        <w:t>Документация об аукционе не усматривает, что осуществление закупки производится среди производителей товара. В аукционе может участвовать неограниченное количество поставщиков. Участником за</w:t>
      </w:r>
      <w:r>
        <w:t>купки может выступать любое лицо, готовое поставить товар, отвечающий требованиям документации об аукционе и требованиям Заказчика. Объективные причины невозможности приобретения товара с требуемыми Заказчику характеристиками Заявителем не представлены.</w:t>
      </w:r>
    </w:p>
    <w:p w:rsidR="008D0532" w:rsidRDefault="003F30A9">
      <w:pPr>
        <w:pStyle w:val="Standard"/>
        <w:ind w:firstLine="540"/>
        <w:jc w:val="both"/>
      </w:pPr>
      <w:r>
        <w:t>Кр</w:t>
      </w:r>
      <w:r>
        <w:t xml:space="preserve">оме того, включение в техническое задание документации требований к закупаемому товару о наличии характеристики о совместимости "с насосами марки </w:t>
      </w:r>
      <w:proofErr w:type="spellStart"/>
      <w:r>
        <w:t>Перфузор</w:t>
      </w:r>
      <w:proofErr w:type="spellEnd"/>
      <w:r>
        <w:t>", в соответствии с потребностью Заказчика, не противоречит действующему законодательству о контрактно</w:t>
      </w:r>
      <w:r>
        <w:t>й системе.</w:t>
      </w:r>
    </w:p>
    <w:p w:rsidR="008D0532" w:rsidRDefault="003F30A9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По  излагаемому обстоятельству Комиссия также исходит из  того факта, что Заказчик не имеет возможности  установить требования к характеристикам товара, которые  удовлетворяли  бы всех возможных участников  закупки.</w:t>
      </w:r>
    </w:p>
    <w:p w:rsidR="008D0532" w:rsidRDefault="003F30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Законодательство не обязывает</w:t>
      </w:r>
      <w:r>
        <w:rPr>
          <w:rFonts w:ascii="Times New Roman" w:hAnsi="Times New Roman" w:cs="Times New Roman"/>
        </w:rPr>
        <w:t xml:space="preserve"> Заказчика при определении характеристик поставляемого товара в документации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 устанавливать такие характеристики, которые  соответствовали бы  всем существующим  на рынке типам, видам, моделям товара.</w:t>
      </w:r>
    </w:p>
    <w:p w:rsidR="008D0532" w:rsidRDefault="003F30A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Кроме того, согласно пункту 1 Обз</w:t>
      </w:r>
      <w:r>
        <w:rPr>
          <w:rFonts w:ascii="Times New Roman" w:hAnsi="Times New Roman" w:cs="Times New Roman"/>
        </w:rPr>
        <w:t>ора судебной практики применения  законодательства  Российской Федерации  о контрактной системе  в сфере закупок товаров, работ, услуг для обеспечения государственных и муниципальных нужд, утвержденного  Президиумом  Верховного Суда РФ 28.06.2021, по общем</w:t>
      </w:r>
      <w:r>
        <w:rPr>
          <w:rFonts w:ascii="Times New Roman" w:hAnsi="Times New Roman" w:cs="Times New Roman"/>
        </w:rPr>
        <w:t>у правилу указание заказчиком в документации о закупке особых характеристик товара, которые отвечают его потребностям и необходимы  заказчику с учетом специфики  использования  такого товара, не может</w:t>
      </w:r>
      <w:proofErr w:type="gramEnd"/>
      <w:r>
        <w:rPr>
          <w:rFonts w:ascii="Times New Roman" w:hAnsi="Times New Roman" w:cs="Times New Roman"/>
        </w:rPr>
        <w:t xml:space="preserve"> рассматриваться как ограничение круга  потенциальных уч</w:t>
      </w:r>
      <w:r>
        <w:rPr>
          <w:rFonts w:ascii="Times New Roman" w:hAnsi="Times New Roman" w:cs="Times New Roman"/>
        </w:rPr>
        <w:t>астников  закупки.</w:t>
      </w:r>
    </w:p>
    <w:p w:rsidR="008D0532" w:rsidRDefault="003F30A9">
      <w:pPr>
        <w:pStyle w:val="Standard"/>
        <w:ind w:firstLine="540"/>
        <w:jc w:val="both"/>
      </w:pPr>
      <w:r>
        <w:t>Комиссия Ненецкого УФАС России отмечает, что руководство по эксплуатации шприцевых насосов «</w:t>
      </w:r>
      <w:proofErr w:type="spellStart"/>
      <w:r>
        <w:t>Перфузор</w:t>
      </w:r>
      <w:proofErr w:type="spellEnd"/>
      <w:r>
        <w:t xml:space="preserve">» от компании </w:t>
      </w:r>
      <w:proofErr w:type="spellStart"/>
      <w:r>
        <w:t>B.Braun</w:t>
      </w:r>
      <w:proofErr w:type="spellEnd"/>
      <w:r>
        <w:t xml:space="preserve"> (Германия) предписывает использовать только такие комбинации оборудования, принадлежностей и расходных материалов, </w:t>
      </w:r>
      <w:r>
        <w:t>которые рекомендованы как совместимые. Руководством устанавливается перечень совместимых с данным оборудованием шприцев. Согласно данным перечням, рекомен</w:t>
      </w:r>
      <w:r>
        <w:rPr>
          <w:color w:val="000000"/>
        </w:rPr>
        <w:t>дованы расходные материалы (шприцы) следующих производителей: "</w:t>
      </w:r>
      <w:proofErr w:type="spellStart"/>
      <w:r>
        <w:rPr>
          <w:color w:val="000000"/>
        </w:rPr>
        <w:t>Becton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Dickinson</w:t>
      </w:r>
      <w:proofErr w:type="spellEnd"/>
      <w:r>
        <w:rPr>
          <w:color w:val="000000"/>
        </w:rPr>
        <w:t>" (США); "TERUMO" (Япон</w:t>
      </w:r>
      <w:r>
        <w:rPr>
          <w:color w:val="000000"/>
        </w:rPr>
        <w:t>ия); "</w:t>
      </w:r>
      <w:proofErr w:type="spellStart"/>
      <w:r>
        <w:rPr>
          <w:color w:val="000000"/>
        </w:rPr>
        <w:t>Sherwood</w:t>
      </w:r>
      <w:proofErr w:type="spellEnd"/>
      <w:r>
        <w:rPr>
          <w:color w:val="000000"/>
        </w:rPr>
        <w:t xml:space="preserve"> EU" (Англия).</w:t>
      </w:r>
    </w:p>
    <w:p w:rsidR="008D0532" w:rsidRDefault="003F30A9">
      <w:pPr>
        <w:pStyle w:val="Standard"/>
        <w:ind w:firstLine="540"/>
        <w:jc w:val="both"/>
      </w:pPr>
      <w:r>
        <w:rPr>
          <w:color w:val="000000"/>
        </w:rPr>
        <w:t>Заказчик пояснил, что на официальном сайте производителя ООО «МИМ», содержится информация о том, что указанный производитель изготавливает шприцы, которые совместимы с любыми типами шприцевых насосов, что также относится и к шп</w:t>
      </w:r>
      <w:r>
        <w:rPr>
          <w:color w:val="000000"/>
        </w:rPr>
        <w:t>рицевым насосам марки «</w:t>
      </w:r>
      <w:proofErr w:type="spellStart"/>
      <w:r>
        <w:rPr>
          <w:color w:val="000000"/>
        </w:rPr>
        <w:t>Перфузор</w:t>
      </w:r>
      <w:proofErr w:type="spellEnd"/>
      <w:r>
        <w:rPr>
          <w:color w:val="000000"/>
        </w:rPr>
        <w:t>». Согласно информации российского производителя медицинских изделий ООО «МИМ»: «шприц</w:t>
      </w:r>
      <w:r>
        <w:t xml:space="preserve">ы 50 мл и шприцы 20 мл производства ООО «МИМ» испытаны на совместимость с насосами </w:t>
      </w:r>
      <w:r>
        <w:rPr>
          <w:lang w:val="en-US"/>
        </w:rPr>
        <w:t>B</w:t>
      </w:r>
      <w:r>
        <w:t>.</w:t>
      </w:r>
      <w:r>
        <w:rPr>
          <w:lang w:val="en-US"/>
        </w:rPr>
        <w:t>Braun</w:t>
      </w:r>
      <w:r>
        <w:t xml:space="preserve"> на заводе ООО «МИМ» и </w:t>
      </w:r>
      <w:proofErr w:type="gramStart"/>
      <w:r>
        <w:t>получены</w:t>
      </w:r>
      <w:proofErr w:type="gramEnd"/>
      <w:r>
        <w:t xml:space="preserve"> положительны резу</w:t>
      </w:r>
      <w:r>
        <w:t xml:space="preserve">льтаты («окклюзия» отсутствует). </w:t>
      </w:r>
      <w:proofErr w:type="gramStart"/>
      <w:r>
        <w:t xml:space="preserve">Характеристика шприцов 50 мл и 20 мл «МИМ» (геометрические размеры, плавность хода поршня) аналогичны шприцу </w:t>
      </w:r>
      <w:proofErr w:type="spellStart"/>
      <w:r>
        <w:rPr>
          <w:lang w:val="en-US"/>
        </w:rPr>
        <w:t>Omnifix</w:t>
      </w:r>
      <w:proofErr w:type="spellEnd"/>
      <w:r>
        <w:t xml:space="preserve">, </w:t>
      </w:r>
      <w:proofErr w:type="spellStart"/>
      <w:r>
        <w:t>инсталированному</w:t>
      </w:r>
      <w:proofErr w:type="spellEnd"/>
      <w:r>
        <w:t xml:space="preserve"> в память насосов </w:t>
      </w:r>
      <w:r>
        <w:rPr>
          <w:lang w:val="en-US"/>
        </w:rPr>
        <w:t>B</w:t>
      </w:r>
      <w:r>
        <w:t>.</w:t>
      </w:r>
      <w:r>
        <w:rPr>
          <w:lang w:val="en-US"/>
        </w:rPr>
        <w:t>Braun</w:t>
      </w:r>
      <w:r>
        <w:t>)».</w:t>
      </w:r>
      <w:proofErr w:type="gramEnd"/>
    </w:p>
    <w:p w:rsidR="008D0532" w:rsidRDefault="003F30A9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Таким образом, на рынке товаров присутствует отечественный п</w:t>
      </w:r>
      <w:r>
        <w:rPr>
          <w:color w:val="000000"/>
        </w:rPr>
        <w:t>роизводитель, продукция которого соответствует требованиям Технического задания.</w:t>
      </w:r>
    </w:p>
    <w:p w:rsidR="008D0532" w:rsidRDefault="003F30A9">
      <w:pPr>
        <w:pStyle w:val="Standard"/>
        <w:ind w:firstLine="540"/>
        <w:jc w:val="both"/>
      </w:pPr>
      <w:r>
        <w:t>Кроме того, на участие в аукционе подано две заявки с предложением к поставке товар</w:t>
      </w:r>
      <w:proofErr w:type="gramStart"/>
      <w:r>
        <w:t>а ООО</w:t>
      </w:r>
      <w:proofErr w:type="gramEnd"/>
      <w:r>
        <w:t xml:space="preserve"> «МПК» Елец» (Россия).</w:t>
      </w:r>
    </w:p>
    <w:p w:rsidR="008D0532" w:rsidRDefault="003F30A9">
      <w:pPr>
        <w:pStyle w:val="Standard"/>
        <w:ind w:firstLine="540"/>
        <w:jc w:val="both"/>
      </w:pPr>
      <w:proofErr w:type="gramStart"/>
      <w:r>
        <w:t xml:space="preserve">Проанализировав материалы дела, Комиссия Ненецкого УФАС России </w:t>
      </w:r>
      <w:r>
        <w:t xml:space="preserve">приходит к выводу о том, что Заказчик при формировании технической части документации об аукционе в электронной форме руководствовался объективными потребностями, соблюдая </w:t>
      </w:r>
      <w:r>
        <w:lastRenderedPageBreak/>
        <w:t>при этом условия о недопущении ограничения количества участников закупки, что так же</w:t>
      </w:r>
      <w:r>
        <w:t xml:space="preserve"> подтверждается анализом рынка, на базе которых сформирована начальная максимальная цена контракта.</w:t>
      </w:r>
      <w:proofErr w:type="gramEnd"/>
    </w:p>
    <w:p w:rsidR="008D0532" w:rsidRDefault="003F30A9">
      <w:pPr>
        <w:pStyle w:val="Standard"/>
        <w:ind w:firstLine="540"/>
        <w:jc w:val="both"/>
      </w:pPr>
      <w:r>
        <w:t xml:space="preserve">При таких обстоятельствах факт ограничения количества участников закупки Комиссией Ненецкого УФАС России не усматривается, </w:t>
      </w:r>
      <w:r>
        <w:rPr>
          <w:kern w:val="0"/>
        </w:rPr>
        <w:t>указывая на ограничение конкуренц</w:t>
      </w:r>
      <w:r>
        <w:rPr>
          <w:kern w:val="0"/>
        </w:rPr>
        <w:t xml:space="preserve">ии, Заявителем также не раскрыты признаки ограничения конкуренции, установленные </w:t>
      </w:r>
      <w:hyperlink r:id="rId9" w:history="1">
        <w:r>
          <w:rPr>
            <w:color w:val="0000FF"/>
            <w:kern w:val="0"/>
          </w:rPr>
          <w:t xml:space="preserve">пунктом  </w:t>
        </w:r>
      </w:hyperlink>
      <w:hyperlink r:id="rId10" w:history="1">
        <w:r>
          <w:rPr>
            <w:color w:val="0000FF"/>
            <w:kern w:val="0"/>
          </w:rPr>
          <w:t>17</w:t>
        </w:r>
      </w:hyperlink>
      <w:hyperlink r:id="rId11" w:history="1">
        <w:r>
          <w:rPr>
            <w:color w:val="0000FF"/>
            <w:kern w:val="0"/>
          </w:rPr>
          <w:t xml:space="preserve"> статьи  </w:t>
        </w:r>
      </w:hyperlink>
      <w:r>
        <w:rPr>
          <w:color w:val="0000FF"/>
          <w:kern w:val="0"/>
        </w:rPr>
        <w:t>4</w:t>
      </w:r>
      <w:r>
        <w:rPr>
          <w:kern w:val="0"/>
        </w:rPr>
        <w:t xml:space="preserve"> Федерального закона от 26.07.2006 N 135-ФЗ "О защите конкуренции", что в итоге свидетельствует о необоснованности таких доводов.</w:t>
      </w:r>
    </w:p>
    <w:p w:rsidR="008D0532" w:rsidRDefault="003F30A9">
      <w:pPr>
        <w:pStyle w:val="Standard"/>
        <w:ind w:firstLine="540"/>
        <w:jc w:val="both"/>
      </w:pPr>
      <w:r>
        <w:t xml:space="preserve">4. </w:t>
      </w:r>
      <w:r>
        <w:rPr>
          <w:color w:val="000000"/>
        </w:rPr>
        <w:t>Касаемо довода жалобы о недостоверной характеристике шпица, который совместим со шприцевым насосом</w:t>
      </w:r>
      <w:r>
        <w:rPr>
          <w:color w:val="000000"/>
        </w:rPr>
        <w:t xml:space="preserve"> марки </w:t>
      </w:r>
      <w:proofErr w:type="spellStart"/>
      <w:r>
        <w:rPr>
          <w:color w:val="000000"/>
        </w:rPr>
        <w:t>Перфузор</w:t>
      </w:r>
      <w:proofErr w:type="spellEnd"/>
      <w:r>
        <w:rPr>
          <w:color w:val="000000"/>
        </w:rPr>
        <w:t>:</w:t>
      </w: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76"/>
      </w:tblGrid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jc w:val="both"/>
            </w:pPr>
            <w:r>
              <w:rPr>
                <w:color w:val="000000"/>
              </w:rPr>
              <w:t xml:space="preserve">Внутренние поверхности шприца, включая поршень, смазаны смазочным материалом, </w:t>
            </w:r>
            <w:r>
              <w:rPr>
                <w:i/>
                <w:color w:val="000000"/>
              </w:rPr>
              <w:t>для обеспечения плавного хода поршня в цилиндре и плавного введения лекарственных средств.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32" w:rsidRDefault="003F30A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 указывается участником в заявке</w:t>
            </w:r>
          </w:p>
        </w:tc>
      </w:tr>
    </w:tbl>
    <w:p w:rsidR="008D0532" w:rsidRDefault="003F30A9">
      <w:pPr>
        <w:pStyle w:val="Standard"/>
        <w:ind w:firstLine="540"/>
        <w:jc w:val="both"/>
      </w:pPr>
      <w:r>
        <w:t>Комиссия отмечает, что описа</w:t>
      </w:r>
      <w:r>
        <w:t xml:space="preserve">ния по данному материалу даны в </w:t>
      </w:r>
      <w:r>
        <w:rPr>
          <w:color w:val="000000"/>
        </w:rPr>
        <w:t>ГОСТ ISO 7886-1-2011. Межгосударственный стандарт. Шприцы инъекционные однократного применения стерильные. Часть 1. Шприцы для ручного использования.</w:t>
      </w:r>
    </w:p>
    <w:p w:rsidR="008D0532" w:rsidRDefault="003F30A9">
      <w:pPr>
        <w:pStyle w:val="Standard"/>
        <w:ind w:firstLine="540"/>
        <w:jc w:val="both"/>
      </w:pPr>
      <w:r>
        <w:rPr>
          <w:color w:val="000000"/>
        </w:rPr>
        <w:t>5. Относительно довода об использовании в документации иной терминологии и</w:t>
      </w:r>
      <w:r>
        <w:rPr>
          <w:color w:val="000000"/>
        </w:rPr>
        <w:t xml:space="preserve"> показателей, отличных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ГОСТ</w:t>
      </w:r>
      <w:proofErr w:type="gramEnd"/>
      <w:r>
        <w:rPr>
          <w:color w:val="000000"/>
        </w:rPr>
        <w:t xml:space="preserve"> при описании игл инъекционных установлено, что показатели размеров приведены в  «Таблице перевода размера игл </w:t>
      </w:r>
      <w:r>
        <w:rPr>
          <w:color w:val="000000"/>
          <w:lang w:val="en-US"/>
        </w:rPr>
        <w:t>G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Gauge</w:t>
      </w:r>
      <w:r>
        <w:rPr>
          <w:color w:val="000000"/>
        </w:rPr>
        <w:t>) в миллиметры и дюймы», находящейся в открытом доступе:</w:t>
      </w:r>
    </w:p>
    <w:tbl>
      <w:tblPr>
        <w:tblW w:w="93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3"/>
        <w:gridCol w:w="1395"/>
        <w:gridCol w:w="1377"/>
        <w:gridCol w:w="1394"/>
        <w:gridCol w:w="1377"/>
        <w:gridCol w:w="1387"/>
        <w:gridCol w:w="1399"/>
      </w:tblGrid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Размер</w:t>
            </w:r>
          </w:p>
        </w:tc>
        <w:tc>
          <w:tcPr>
            <w:tcW w:w="2772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Внешний диаметр</w:t>
            </w:r>
          </w:p>
        </w:tc>
        <w:tc>
          <w:tcPr>
            <w:tcW w:w="2771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Внутренний диаметр</w:t>
            </w:r>
          </w:p>
        </w:tc>
        <w:tc>
          <w:tcPr>
            <w:tcW w:w="2786" w:type="dxa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Толщина </w:t>
            </w:r>
            <w:r>
              <w:rPr>
                <w:b/>
                <w:bCs/>
                <w:lang w:eastAsia="ru-RU"/>
              </w:rPr>
              <w:t>стенки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proofErr w:type="spellStart"/>
            <w:r>
              <w:rPr>
                <w:i/>
                <w:iCs/>
                <w:lang w:eastAsia="ru-RU"/>
              </w:rPr>
              <w:t>Gauge</w:t>
            </w:r>
            <w:proofErr w:type="spellEnd"/>
            <w:r>
              <w:rPr>
                <w:i/>
                <w:iCs/>
                <w:lang w:eastAsia="ru-RU"/>
              </w:rPr>
              <w:t xml:space="preserve"> (G)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дюймы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мм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дюймы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мм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proofErr w:type="spellStart"/>
            <w:r>
              <w:rPr>
                <w:i/>
                <w:iCs/>
                <w:lang w:eastAsia="ru-RU"/>
              </w:rPr>
              <w:t>дйюмы</w:t>
            </w:r>
            <w:proofErr w:type="spellEnd"/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мм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0.050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1.270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0.033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0.838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0.0085</w:t>
            </w:r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0.216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0.03575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0.9081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0.02375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0.603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0.006</w:t>
            </w:r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0.1524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0.03225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0.8192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0.02025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0.514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0.006</w:t>
            </w:r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0.1524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0.02825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0.7176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0.01625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0.413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0.006</w:t>
            </w:r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0.1524</w:t>
            </w:r>
          </w:p>
        </w:tc>
      </w:tr>
      <w:tr w:rsidR="008D0532" w:rsidTr="008D0532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0.02525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0.6414</w:t>
            </w:r>
          </w:p>
        </w:tc>
        <w:tc>
          <w:tcPr>
            <w:tcW w:w="1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0.01325</w:t>
            </w:r>
          </w:p>
        </w:tc>
        <w:tc>
          <w:tcPr>
            <w:tcW w:w="137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0.337</w:t>
            </w:r>
          </w:p>
        </w:tc>
        <w:tc>
          <w:tcPr>
            <w:tcW w:w="1387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0.006</w:t>
            </w:r>
          </w:p>
        </w:tc>
        <w:tc>
          <w:tcPr>
            <w:tcW w:w="1399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:rsidR="008D0532" w:rsidRDefault="003F30A9">
            <w:pPr>
              <w:pStyle w:val="Standar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0.1524</w:t>
            </w:r>
          </w:p>
        </w:tc>
      </w:tr>
    </w:tbl>
    <w:p w:rsidR="008D0532" w:rsidRDefault="003F30A9">
      <w:pPr>
        <w:pStyle w:val="Standard"/>
        <w:jc w:val="both"/>
      </w:pPr>
      <w:r>
        <w:rPr>
          <w:color w:val="000000"/>
        </w:rPr>
        <w:tab/>
        <w:t xml:space="preserve">Кроме того, техническое задание, в части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5-9 не содержит указаний на ГОСТ </w:t>
      </w:r>
      <w:r>
        <w:rPr>
          <w:color w:val="000000"/>
          <w:lang w:val="en-US"/>
        </w:rPr>
        <w:t>ISO</w:t>
      </w:r>
      <w:r>
        <w:rPr>
          <w:color w:val="000000"/>
        </w:rPr>
        <w:t>7864-2011, также как и при описании соединений «</w:t>
      </w:r>
      <w:proofErr w:type="spellStart"/>
      <w:r>
        <w:rPr>
          <w:color w:val="000000"/>
        </w:rPr>
        <w:t>луер-лок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луер-слип</w:t>
      </w:r>
      <w:proofErr w:type="spellEnd"/>
      <w:r>
        <w:rPr>
          <w:color w:val="000000"/>
        </w:rPr>
        <w:t>».</w:t>
      </w:r>
    </w:p>
    <w:p w:rsidR="008D0532" w:rsidRDefault="003F30A9">
      <w:pPr>
        <w:pStyle w:val="Standard"/>
        <w:jc w:val="both"/>
      </w:pPr>
      <w:r>
        <w:rPr>
          <w:color w:val="000000"/>
        </w:rPr>
        <w:tab/>
        <w:t xml:space="preserve">6. Необоснованным Комиссия считает и довод заявителя, в части неоднозначного указания </w:t>
      </w:r>
      <w:r>
        <w:rPr>
          <w:color w:val="000000"/>
        </w:rPr>
        <w:t>в техническом задании значения «≥»1 игл в комплекте.</w:t>
      </w:r>
    </w:p>
    <w:p w:rsidR="008D0532" w:rsidRDefault="003F30A9">
      <w:pPr>
        <w:pStyle w:val="Standard"/>
        <w:jc w:val="both"/>
      </w:pPr>
      <w:r>
        <w:rPr>
          <w:color w:val="000000"/>
        </w:rPr>
        <w:tab/>
        <w:t xml:space="preserve">Согласно инструкции </w:t>
      </w:r>
      <w:proofErr w:type="gramStart"/>
      <w:r>
        <w:rPr>
          <w:color w:val="000000"/>
        </w:rPr>
        <w:t xml:space="preserve">по </w:t>
      </w:r>
      <w:r>
        <w:t>предоставлению сведений в первой части заявки на участие в электронном аукционе о конкретных показателях</w:t>
      </w:r>
      <w:proofErr w:type="gramEnd"/>
      <w:r>
        <w:t xml:space="preserve"> </w:t>
      </w:r>
      <w:r>
        <w:rPr>
          <w:color w:val="000000"/>
        </w:rPr>
        <w:t xml:space="preserve">символ </w:t>
      </w:r>
      <w:r>
        <w:t>«≥» - означает что, участнику следует предоставить в заявке конкрет</w:t>
      </w:r>
      <w:r>
        <w:t>ный показатель, более указанного значения или равный ему.</w:t>
      </w:r>
    </w:p>
    <w:p w:rsidR="008D0532" w:rsidRDefault="003F30A9">
      <w:pPr>
        <w:pStyle w:val="Standard"/>
        <w:jc w:val="both"/>
        <w:rPr>
          <w:color w:val="000000"/>
        </w:rPr>
      </w:pPr>
      <w:r>
        <w:rPr>
          <w:color w:val="000000"/>
        </w:rPr>
        <w:tab/>
        <w:t>При этом неясности при заполнении поданных двух заявок у участников закупки не установлено. Кроме того, участник закупки мог предложить разное количество игл, описание которых содержится в документ</w:t>
      </w:r>
      <w:r>
        <w:rPr>
          <w:color w:val="000000"/>
        </w:rPr>
        <w:t>ации в соответствии с требованиями ст. 33 Закона о контрактной системе.</w:t>
      </w:r>
    </w:p>
    <w:p w:rsidR="008D0532" w:rsidRDefault="003F30A9">
      <w:pPr>
        <w:pStyle w:val="Standard"/>
        <w:ind w:firstLine="540"/>
        <w:jc w:val="both"/>
        <w:rPr>
          <w:rFonts w:eastAsia="Calibri"/>
          <w:color w:val="000000"/>
          <w:lang w:bidi="hi-IN"/>
        </w:rPr>
      </w:pPr>
      <w:r>
        <w:rPr>
          <w:rFonts w:eastAsia="Calibri"/>
          <w:color w:val="000000"/>
          <w:lang w:bidi="hi-IN"/>
        </w:rPr>
        <w:t>Комиссия также учитывает то, что за разъяснениями  по доводам своей жалобы Заявитель не обращался, заявки на участие в аукционе не подавал.</w:t>
      </w:r>
    </w:p>
    <w:p w:rsidR="008D0532" w:rsidRDefault="003F30A9">
      <w:pPr>
        <w:pStyle w:val="Standard"/>
        <w:ind w:firstLine="540"/>
        <w:jc w:val="both"/>
      </w:pPr>
      <w:r>
        <w:t xml:space="preserve">В этой связи  в пункте 38 Обзора  судебной </w:t>
      </w:r>
      <w:r>
        <w:t xml:space="preserve">практики  Верховного Суда РФ № 2(2020), утвержденного Президиумом  Верховного Суда РФ </w:t>
      </w:r>
      <w:proofErr w:type="spellStart"/>
      <w:proofErr w:type="gramStart"/>
      <w:r>
        <w:t>РФ</w:t>
      </w:r>
      <w:proofErr w:type="spellEnd"/>
      <w:proofErr w:type="gramEnd"/>
      <w:r>
        <w:t xml:space="preserve"> 22.07.2020, разъяснено, что  механизм защиты  прав  участников закупки  в  административном порядке, путем рассмотрения  их жалоб контрольным органом в сфере закупок  </w:t>
      </w:r>
      <w:r>
        <w:t>должен применяться в случаях действительных, а не мнимых нарушений  прав и законных интересов  участников закупки, и не должен создавать  предпосылки для нарушения публичных интересов, состоящих в удовлетворении  государственных (муниципальных) нужд при об</w:t>
      </w:r>
      <w:r>
        <w:t>еспечении  экономности  и результативности соответствующих бюджетных ассигнований.</w:t>
      </w:r>
    </w:p>
    <w:p w:rsidR="008D0532" w:rsidRDefault="003F30A9">
      <w:pPr>
        <w:pStyle w:val="Standard"/>
        <w:suppressAutoHyphens w:val="0"/>
        <w:autoSpaceDE w:val="0"/>
        <w:ind w:firstLine="540"/>
        <w:jc w:val="both"/>
        <w:textAlignment w:val="auto"/>
      </w:pPr>
      <w:proofErr w:type="gramStart"/>
      <w:r>
        <w:rPr>
          <w:kern w:val="0"/>
        </w:rPr>
        <w:lastRenderedPageBreak/>
        <w:t>Таким образом, доказательств, свидетельствующих о том, что содержащиеся в док</w:t>
      </w:r>
      <w:r>
        <w:rPr>
          <w:kern w:val="0"/>
        </w:rPr>
        <w:t>у</w:t>
      </w:r>
      <w:r>
        <w:rPr>
          <w:kern w:val="0"/>
        </w:rPr>
        <w:t>ментации закупки требования создали одному участнику закупки преимущество перед другими, либо я</w:t>
      </w:r>
      <w:r>
        <w:rPr>
          <w:kern w:val="0"/>
        </w:rPr>
        <w:t>вляются непреодолимыми для потенциальных участников закупки, а та</w:t>
      </w:r>
      <w:r>
        <w:rPr>
          <w:kern w:val="0"/>
        </w:rPr>
        <w:t>к</w:t>
      </w:r>
      <w:r>
        <w:rPr>
          <w:kern w:val="0"/>
        </w:rPr>
        <w:t>же каким-либо образом необоснованно повлекли за собой ограничение количества учас</w:t>
      </w:r>
      <w:r>
        <w:rPr>
          <w:kern w:val="0"/>
        </w:rPr>
        <w:t>т</w:t>
      </w:r>
      <w:r>
        <w:rPr>
          <w:kern w:val="0"/>
        </w:rPr>
        <w:t xml:space="preserve">ников, Заявителем, также как и </w:t>
      </w:r>
      <w:r>
        <w:rPr>
          <w:rFonts w:eastAsia="Calibri"/>
          <w:color w:val="000000"/>
          <w:lang w:bidi="hi-IN"/>
        </w:rPr>
        <w:t>д</w:t>
      </w:r>
      <w:r>
        <w:t>окументов, подтверждающие ее обоснованность</w:t>
      </w:r>
      <w:r>
        <w:rPr>
          <w:kern w:val="0"/>
        </w:rPr>
        <w:t xml:space="preserve"> вопреки требованиям </w:t>
      </w:r>
      <w:r>
        <w:rPr>
          <w:color w:val="0000FF"/>
          <w:kern w:val="0"/>
        </w:rPr>
        <w:t>части 9 стат</w:t>
      </w:r>
      <w:r>
        <w:rPr>
          <w:color w:val="0000FF"/>
          <w:kern w:val="0"/>
        </w:rPr>
        <w:t>ьи 105</w:t>
      </w:r>
      <w:r>
        <w:rPr>
          <w:kern w:val="0"/>
        </w:rPr>
        <w:t xml:space="preserve"> Закона о контрактной системе не представлено.</w:t>
      </w:r>
      <w:proofErr w:type="gramEnd"/>
    </w:p>
    <w:p w:rsidR="008D0532" w:rsidRDefault="003F30A9">
      <w:pPr>
        <w:pStyle w:val="Standard"/>
        <w:ind w:firstLine="540"/>
        <w:jc w:val="both"/>
      </w:pPr>
      <w:r>
        <w:t>По мнению Комиссии Ненецкого УФАС России, отдельные недостатки документации, на которые ссылается Заявитель, в том числе отсутствие указаний конкретного пункта ГОСТ не являются влекущими безусловную отме</w:t>
      </w:r>
      <w:r>
        <w:t>ну итогов несостоявшегося аукциона.</w:t>
      </w:r>
    </w:p>
    <w:p w:rsidR="008D0532" w:rsidRDefault="003F30A9">
      <w:pPr>
        <w:autoSpaceDE w:val="0"/>
        <w:ind w:firstLine="53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hAnsi="Times New Roman" w:cs="Times New Roman"/>
          <w:color w:val="0000FF"/>
        </w:rPr>
        <w:t>ст. ст. 99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FF"/>
        </w:rPr>
        <w:t>106</w:t>
      </w:r>
      <w:r>
        <w:rPr>
          <w:rFonts w:ascii="Times New Roman" w:hAnsi="Times New Roman" w:cs="Times New Roman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8D0532" w:rsidRDefault="003F30A9">
      <w:pPr>
        <w:pStyle w:val="Standard"/>
        <w:jc w:val="center"/>
      </w:pPr>
      <w:r>
        <w:t>РЕШИЛ</w:t>
      </w:r>
      <w:r>
        <w:t>А:</w:t>
      </w:r>
    </w:p>
    <w:p w:rsidR="008D0532" w:rsidRDefault="003F30A9">
      <w:pPr>
        <w:pStyle w:val="parametervalue"/>
        <w:spacing w:before="0" w:after="0"/>
        <w:jc w:val="both"/>
      </w:pPr>
      <w:r>
        <w:rPr>
          <w:color w:val="000000"/>
        </w:rPr>
        <w:tab/>
        <w:t xml:space="preserve">Признать жалобу индивидуального предпринимателя Коваленко Виталия Владимировича на действия Уполномоченного органа — Управление государственного заказа Ненецкого автономного округа, Заказчика – </w:t>
      </w:r>
      <w:r>
        <w:t>Заказчика -  государственного бюджетного учреждения здраво</w:t>
      </w:r>
      <w:r>
        <w:t xml:space="preserve">охранения Ненецкого автономного округа «Ненецкая окружная больница имени Р.И. </w:t>
      </w:r>
      <w:proofErr w:type="spellStart"/>
      <w:r>
        <w:t>Батмановой</w:t>
      </w:r>
      <w:proofErr w:type="spellEnd"/>
      <w:r>
        <w:t xml:space="preserve">» </w:t>
      </w:r>
      <w:r>
        <w:rPr>
          <w:color w:val="000000"/>
        </w:rPr>
        <w:t xml:space="preserve">при проведении электронного аукциона № </w:t>
      </w:r>
      <w:r>
        <w:rPr>
          <w:kern w:val="0"/>
          <w:lang w:eastAsia="ru-RU"/>
        </w:rPr>
        <w:t>0184200000621000606</w:t>
      </w:r>
      <w:r>
        <w:rPr>
          <w:color w:val="000000"/>
        </w:rPr>
        <w:t xml:space="preserve"> на п</w:t>
      </w:r>
      <w:r>
        <w:t>оставку шприцев и игл инъекционных</w:t>
      </w:r>
      <w:r>
        <w:rPr>
          <w:color w:val="000000"/>
        </w:rPr>
        <w:t xml:space="preserve"> -  необоснованной.</w:t>
      </w:r>
    </w:p>
    <w:p w:rsidR="008D0532" w:rsidRDefault="008D0532">
      <w:pPr>
        <w:pStyle w:val="parametervalue"/>
        <w:spacing w:before="0" w:after="0"/>
        <w:jc w:val="both"/>
      </w:pPr>
    </w:p>
    <w:p w:rsidR="008D0532" w:rsidRDefault="003F30A9">
      <w:pPr>
        <w:pStyle w:val="Standard"/>
        <w:spacing w:before="200"/>
        <w:ind w:firstLine="540"/>
        <w:jc w:val="both"/>
      </w:pPr>
      <w:r>
        <w:rPr>
          <w:i/>
          <w:iCs/>
        </w:rPr>
        <w:t>Настоящее решение может быть обжаловано в судебн</w:t>
      </w:r>
      <w:r>
        <w:rPr>
          <w:i/>
          <w:iCs/>
        </w:rPr>
        <w:t xml:space="preserve">ом порядке в течение трех месяцев </w:t>
      </w:r>
      <w:proofErr w:type="gramStart"/>
      <w:r>
        <w:rPr>
          <w:i/>
          <w:iCs/>
        </w:rPr>
        <w:t>с даты</w:t>
      </w:r>
      <w:proofErr w:type="gramEnd"/>
      <w:r>
        <w:rPr>
          <w:i/>
          <w:iCs/>
        </w:rPr>
        <w:t xml:space="preserve"> его принятия.</w:t>
      </w:r>
    </w:p>
    <w:p w:rsidR="008D0532" w:rsidRDefault="008D0532">
      <w:pPr>
        <w:pStyle w:val="Standard"/>
        <w:suppressAutoHyphens w:val="0"/>
        <w:autoSpaceDE w:val="0"/>
        <w:ind w:firstLine="540"/>
        <w:jc w:val="both"/>
        <w:textAlignment w:val="auto"/>
      </w:pPr>
    </w:p>
    <w:p w:rsidR="008D0532" w:rsidRDefault="003F30A9">
      <w:pPr>
        <w:pStyle w:val="Standard"/>
        <w:jc w:val="both"/>
      </w:pPr>
      <w:r>
        <w:t xml:space="preserve">Председатель Комиссии                                                                          </w:t>
      </w:r>
    </w:p>
    <w:p w:rsidR="008D0532" w:rsidRDefault="008D0532">
      <w:pPr>
        <w:pStyle w:val="Standard"/>
        <w:jc w:val="both"/>
      </w:pPr>
    </w:p>
    <w:p w:rsidR="008D0532" w:rsidRDefault="003F30A9">
      <w:pPr>
        <w:pStyle w:val="Standard"/>
        <w:jc w:val="both"/>
      </w:pPr>
      <w:r>
        <w:t xml:space="preserve">Члены  Комиссии                                                                                     </w:t>
      </w:r>
    </w:p>
    <w:bookmarkStart w:id="0" w:name="_Toc479844831"/>
    <w:bookmarkStart w:id="1" w:name="_Toc14790887"/>
    <w:bookmarkStart w:id="2" w:name="_Toc2005318"/>
    <w:bookmarkStart w:id="3" w:name="_Toc505697176"/>
    <w:bookmarkStart w:id="4" w:name="_Toc497901016"/>
    <w:bookmarkStart w:id="5" w:name="_Toc491253997"/>
    <w:bookmarkStart w:id="6" w:name="_Toc437618415"/>
    <w:bookmarkStart w:id="7" w:name="_Toc444265028"/>
    <w:bookmarkStart w:id="8" w:name="_Toc447126983"/>
    <w:bookmarkStart w:id="9" w:name="_Toc448736890"/>
    <w:bookmarkStart w:id="10" w:name="_Toc460406816"/>
    <w:bookmarkStart w:id="11" w:name="_Toc460426211"/>
    <w:bookmarkStart w:id="12" w:name="_Toc465244256"/>
    <w:bookmarkStart w:id="13" w:name="_Toc472592329"/>
    <w:bookmarkStart w:id="14" w:name="Par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8D0532" w:rsidRDefault="008D0532">
      <w:pPr>
        <w:pStyle w:val="Standard"/>
        <w:ind w:firstLine="540"/>
        <w:jc w:val="both"/>
      </w:pPr>
      <w:r>
        <w:fldChar w:fldCharType="begin"/>
      </w:r>
      <w:r>
        <w:instrText xml:space="preserve"> HYPERLINK  "consultantplus://offline/ref=2B5F587DFE98B789EDE4307E3691ED5CD4E3D1C3F2901B452B3120A01AF0818B7B2262BF821E475D9AFF25F700qDjDO" </w:instrText>
      </w:r>
      <w:r>
        <w:fldChar w:fldCharType="separate"/>
      </w:r>
      <w:r>
        <w:fldChar w:fldCharType="end"/>
      </w:r>
    </w:p>
    <w:sectPr w:rsidR="008D0532" w:rsidSect="008D053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32" w:rsidRDefault="008D0532" w:rsidP="008D0532">
      <w:r>
        <w:separator/>
      </w:r>
    </w:p>
  </w:endnote>
  <w:endnote w:type="continuationSeparator" w:id="0">
    <w:p w:rsidR="008D0532" w:rsidRDefault="008D0532" w:rsidP="008D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32" w:rsidRDefault="003F30A9" w:rsidP="008D0532">
      <w:r w:rsidRPr="008D0532">
        <w:rPr>
          <w:color w:val="000000"/>
        </w:rPr>
        <w:separator/>
      </w:r>
    </w:p>
  </w:footnote>
  <w:footnote w:type="continuationSeparator" w:id="0">
    <w:p w:rsidR="008D0532" w:rsidRDefault="008D0532" w:rsidP="008D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5E09"/>
    <w:multiLevelType w:val="multilevel"/>
    <w:tmpl w:val="73560C8E"/>
    <w:styleLink w:val="WWNum1"/>
    <w:lvl w:ilvl="0">
      <w:start w:val="1"/>
      <w:numFmt w:val="decimal"/>
      <w:lvlText w:val="%1)"/>
      <w:lvlJc w:val="left"/>
      <w:rPr>
        <w:rFonts w:eastAsia="Batang" w:cs="Batang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eastAsia="Batang" w:cs="Batang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B032A2A"/>
    <w:multiLevelType w:val="multilevel"/>
    <w:tmpl w:val="857426A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sz w:val="26"/>
        <w:szCs w:val="26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4549C8"/>
    <w:multiLevelType w:val="multilevel"/>
    <w:tmpl w:val="5DA2A448"/>
    <w:styleLink w:val="WW8Num1"/>
    <w:lvl w:ilvl="0">
      <w:start w:val="1"/>
      <w:numFmt w:val="none"/>
      <w:pStyle w:val="Heading3us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EAC5B74"/>
    <w:multiLevelType w:val="multilevel"/>
    <w:tmpl w:val="96F48C9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532"/>
    <w:rsid w:val="003F30A9"/>
    <w:rsid w:val="008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53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0532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D0532"/>
    <w:rPr>
      <w:rFonts w:ascii="Arial" w:eastAsia="Arial" w:hAnsi="Arial" w:cs="Arial"/>
      <w:b/>
      <w:color w:val="00000A"/>
      <w:sz w:val="22"/>
      <w:szCs w:val="20"/>
    </w:rPr>
  </w:style>
  <w:style w:type="paragraph" w:customStyle="1" w:styleId="Textbody">
    <w:name w:val="Text body"/>
    <w:basedOn w:val="Standard"/>
    <w:rsid w:val="008D0532"/>
    <w:pPr>
      <w:spacing w:after="120"/>
    </w:pPr>
    <w:rPr>
      <w:color w:val="00000A"/>
      <w:szCs w:val="20"/>
    </w:rPr>
  </w:style>
  <w:style w:type="paragraph" w:customStyle="1" w:styleId="Heading1">
    <w:name w:val="Heading 1"/>
    <w:basedOn w:val="a"/>
    <w:next w:val="a"/>
    <w:rsid w:val="008D05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5"/>
    </w:rPr>
  </w:style>
  <w:style w:type="paragraph" w:customStyle="1" w:styleId="Heading2">
    <w:name w:val="Heading 2"/>
    <w:basedOn w:val="Heading"/>
    <w:rsid w:val="008D0532"/>
    <w:pPr>
      <w:outlineLvl w:val="1"/>
    </w:pPr>
  </w:style>
  <w:style w:type="paragraph" w:styleId="a3">
    <w:name w:val="List"/>
    <w:basedOn w:val="Textbody"/>
    <w:rsid w:val="008D0532"/>
    <w:rPr>
      <w:rFonts w:cs="Arial"/>
    </w:rPr>
  </w:style>
  <w:style w:type="paragraph" w:styleId="a4">
    <w:name w:val="caption"/>
    <w:basedOn w:val="Standard"/>
    <w:rsid w:val="008D053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D0532"/>
    <w:pPr>
      <w:suppressLineNumbers/>
    </w:pPr>
    <w:rPr>
      <w:rFonts w:cs="Arial"/>
    </w:rPr>
  </w:style>
  <w:style w:type="paragraph" w:customStyle="1" w:styleId="parametervalue">
    <w:name w:val="parametervalue"/>
    <w:basedOn w:val="Standard"/>
    <w:rsid w:val="008D0532"/>
    <w:pPr>
      <w:spacing w:before="280" w:after="280"/>
    </w:pPr>
  </w:style>
  <w:style w:type="paragraph" w:styleId="a5">
    <w:name w:val="List Paragraph"/>
    <w:basedOn w:val="Standard"/>
    <w:rsid w:val="008D0532"/>
    <w:pPr>
      <w:ind w:left="720"/>
    </w:pPr>
  </w:style>
  <w:style w:type="paragraph" w:customStyle="1" w:styleId="a6">
    <w:name w:val="Адресат вверху"/>
    <w:basedOn w:val="Standard"/>
    <w:rsid w:val="008D0532"/>
    <w:pPr>
      <w:jc w:val="both"/>
    </w:pPr>
    <w:rPr>
      <w:b/>
      <w:szCs w:val="20"/>
    </w:rPr>
  </w:style>
  <w:style w:type="paragraph" w:customStyle="1" w:styleId="Heading3user">
    <w:name w:val="Heading 3 (user)"/>
    <w:basedOn w:val="Standard"/>
    <w:next w:val="Standard"/>
    <w:rsid w:val="008D0532"/>
    <w:pPr>
      <w:keepNext/>
      <w:numPr>
        <w:numId w:val="1"/>
      </w:numPr>
      <w:jc w:val="center"/>
    </w:pPr>
    <w:rPr>
      <w:b/>
      <w:color w:val="00000A"/>
      <w:sz w:val="28"/>
      <w:szCs w:val="20"/>
    </w:rPr>
  </w:style>
  <w:style w:type="paragraph" w:customStyle="1" w:styleId="Preformat">
    <w:name w:val="Preformat"/>
    <w:rsid w:val="008D0532"/>
    <w:pPr>
      <w:widowControl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ConsPlusNonformat">
    <w:name w:val="ConsPlusNonformat"/>
    <w:rsid w:val="008D053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7">
    <w:name w:val="a"/>
    <w:basedOn w:val="Standard"/>
    <w:rsid w:val="008D0532"/>
    <w:pPr>
      <w:spacing w:before="280" w:after="280"/>
    </w:pPr>
    <w:rPr>
      <w:rFonts w:eastAsia="SimSun, 宋体"/>
      <w:color w:val="00000A"/>
    </w:rPr>
  </w:style>
  <w:style w:type="paragraph" w:customStyle="1" w:styleId="ConsPlusNormal">
    <w:name w:val="ConsPlusNormal"/>
    <w:rsid w:val="008D0532"/>
    <w:pPr>
      <w:widowControl/>
      <w:suppressAutoHyphens/>
    </w:pPr>
    <w:rPr>
      <w:rFonts w:ascii="Times New Roman" w:eastAsia="SimSun, 宋体" w:hAnsi="Times New Roman" w:cs="Times New Roman"/>
      <w:color w:val="00000A"/>
      <w:sz w:val="28"/>
      <w:szCs w:val="28"/>
      <w:lang w:bidi="ar-SA"/>
    </w:rPr>
  </w:style>
  <w:style w:type="paragraph" w:customStyle="1" w:styleId="TableContents">
    <w:name w:val="Table Contents"/>
    <w:basedOn w:val="Standard"/>
    <w:rsid w:val="008D0532"/>
    <w:pPr>
      <w:suppressLineNumbers/>
    </w:pPr>
  </w:style>
  <w:style w:type="paragraph" w:customStyle="1" w:styleId="TableHeading">
    <w:name w:val="Table Heading"/>
    <w:basedOn w:val="TableContents"/>
    <w:rsid w:val="008D0532"/>
    <w:pPr>
      <w:jc w:val="center"/>
    </w:pPr>
    <w:rPr>
      <w:b/>
      <w:bCs/>
    </w:rPr>
  </w:style>
  <w:style w:type="paragraph" w:styleId="a8">
    <w:name w:val="Balloon Text"/>
    <w:basedOn w:val="a"/>
    <w:rsid w:val="008D0532"/>
    <w:rPr>
      <w:rFonts w:ascii="Segoe UI" w:eastAsia="Segoe UI" w:hAnsi="Segoe UI" w:cs="Segoe UI"/>
      <w:sz w:val="18"/>
      <w:szCs w:val="16"/>
    </w:rPr>
  </w:style>
  <w:style w:type="paragraph" w:customStyle="1" w:styleId="2">
    <w:name w:val="Основной текст (2)"/>
    <w:basedOn w:val="Standard"/>
    <w:rsid w:val="008D0532"/>
    <w:pPr>
      <w:shd w:val="clear" w:color="auto" w:fill="FFFFFF"/>
      <w:spacing w:after="420" w:line="413" w:lineRule="exact"/>
      <w:jc w:val="center"/>
    </w:pPr>
    <w:rPr>
      <w:b/>
      <w:bCs/>
      <w:sz w:val="22"/>
      <w:szCs w:val="22"/>
      <w:lang w:val="en-US" w:bidi="hi-IN"/>
    </w:rPr>
  </w:style>
  <w:style w:type="paragraph" w:styleId="a9">
    <w:name w:val="No Spacing"/>
    <w:rsid w:val="008D0532"/>
    <w:pPr>
      <w:suppressAutoHyphens/>
    </w:pPr>
    <w:rPr>
      <w:szCs w:val="21"/>
    </w:rPr>
  </w:style>
  <w:style w:type="paragraph" w:styleId="20">
    <w:name w:val="Body Text Indent 2"/>
    <w:basedOn w:val="a"/>
    <w:rsid w:val="008D0532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1">
    <w:name w:val="Основной текст2"/>
    <w:basedOn w:val="a"/>
    <w:rsid w:val="008D0532"/>
    <w:pPr>
      <w:widowControl/>
      <w:shd w:val="clear" w:color="auto" w:fill="FFFFFF"/>
      <w:suppressAutoHyphens w:val="0"/>
      <w:spacing w:line="0" w:lineRule="atLeast"/>
      <w:jc w:val="center"/>
      <w:textAlignment w:val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cumentMap">
    <w:name w:val="DocumentMap"/>
    <w:rsid w:val="008D0532"/>
    <w:pPr>
      <w:widowControl/>
      <w:textAlignment w:val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ListParagraphBulletListFooterTextnumberedTable-NormalRSHBTable-NormalParagraphedeliste1lp111itList1422UL">
    <w:name w:val="List Paragraph;Bullet List;FooterText;numbered;Список дефисный;Table-Normal;RSHB_Table-Normal;Заговок Марина;Paragraphe de liste1;lp1;ТЗ список;Абзац списка литеральный;Булет1;1Булет;it_List1;4.2.2;UL"/>
    <w:basedOn w:val="Standard"/>
    <w:rsid w:val="008D0532"/>
    <w:pPr>
      <w:ind w:left="720"/>
    </w:pPr>
    <w:rPr>
      <w:sz w:val="28"/>
    </w:rPr>
  </w:style>
  <w:style w:type="paragraph" w:customStyle="1" w:styleId="BodyText1bodytextbodytext11">
    <w:name w:val="Body Text;Основной текст Знак Знак;Знак1;body text Знак Знак;body text Знак Знак Знак;Основной текст Знак Знак Знак Знак Знак Знак Знак;Основной текст Знак Знак Знак Знак Знак Знак Знак Знак Знак Знак Знак Знак Знак Знак;Знак11"/>
    <w:basedOn w:val="Standard"/>
    <w:rsid w:val="008D0532"/>
    <w:pPr>
      <w:spacing w:after="120"/>
    </w:pPr>
  </w:style>
  <w:style w:type="character" w:customStyle="1" w:styleId="WW8Num1z0">
    <w:name w:val="WW8Num1z0"/>
    <w:rsid w:val="008D0532"/>
  </w:style>
  <w:style w:type="character" w:customStyle="1" w:styleId="WW8Num1z1">
    <w:name w:val="WW8Num1z1"/>
    <w:rsid w:val="008D0532"/>
  </w:style>
  <w:style w:type="character" w:customStyle="1" w:styleId="WW8Num1z2">
    <w:name w:val="WW8Num1z2"/>
    <w:rsid w:val="008D0532"/>
  </w:style>
  <w:style w:type="character" w:customStyle="1" w:styleId="WW8Num1z3">
    <w:name w:val="WW8Num1z3"/>
    <w:rsid w:val="008D0532"/>
  </w:style>
  <w:style w:type="character" w:customStyle="1" w:styleId="WW8Num1z4">
    <w:name w:val="WW8Num1z4"/>
    <w:rsid w:val="008D0532"/>
  </w:style>
  <w:style w:type="character" w:customStyle="1" w:styleId="WW8Num1z5">
    <w:name w:val="WW8Num1z5"/>
    <w:rsid w:val="008D0532"/>
  </w:style>
  <w:style w:type="character" w:customStyle="1" w:styleId="WW8Num1z6">
    <w:name w:val="WW8Num1z6"/>
    <w:rsid w:val="008D0532"/>
  </w:style>
  <w:style w:type="character" w:customStyle="1" w:styleId="WW8Num1z7">
    <w:name w:val="WW8Num1z7"/>
    <w:rsid w:val="008D0532"/>
  </w:style>
  <w:style w:type="character" w:customStyle="1" w:styleId="WW8Num1z8">
    <w:name w:val="WW8Num1z8"/>
    <w:rsid w:val="008D0532"/>
  </w:style>
  <w:style w:type="character" w:customStyle="1" w:styleId="WW8Num2z0">
    <w:name w:val="WW8Num2z0"/>
    <w:rsid w:val="008D0532"/>
  </w:style>
  <w:style w:type="character" w:customStyle="1" w:styleId="WW8Num2z1">
    <w:name w:val="WW8Num2z1"/>
    <w:rsid w:val="008D0532"/>
  </w:style>
  <w:style w:type="character" w:customStyle="1" w:styleId="WW8Num2z2">
    <w:name w:val="WW8Num2z2"/>
    <w:rsid w:val="008D0532"/>
    <w:rPr>
      <w:sz w:val="26"/>
      <w:szCs w:val="26"/>
    </w:rPr>
  </w:style>
  <w:style w:type="character" w:customStyle="1" w:styleId="WW8Num2z3">
    <w:name w:val="WW8Num2z3"/>
    <w:rsid w:val="008D0532"/>
  </w:style>
  <w:style w:type="character" w:customStyle="1" w:styleId="WW8Num2z4">
    <w:name w:val="WW8Num2z4"/>
    <w:rsid w:val="008D0532"/>
  </w:style>
  <w:style w:type="character" w:customStyle="1" w:styleId="WW8Num2z5">
    <w:name w:val="WW8Num2z5"/>
    <w:rsid w:val="008D0532"/>
  </w:style>
  <w:style w:type="character" w:customStyle="1" w:styleId="WW8Num2z6">
    <w:name w:val="WW8Num2z6"/>
    <w:rsid w:val="008D0532"/>
  </w:style>
  <w:style w:type="character" w:customStyle="1" w:styleId="WW8Num2z7">
    <w:name w:val="WW8Num2z7"/>
    <w:rsid w:val="008D0532"/>
  </w:style>
  <w:style w:type="character" w:customStyle="1" w:styleId="WW8Num2z8">
    <w:name w:val="WW8Num2z8"/>
    <w:rsid w:val="008D0532"/>
  </w:style>
  <w:style w:type="character" w:customStyle="1" w:styleId="WW8Num3z0">
    <w:name w:val="WW8Num3z0"/>
    <w:rsid w:val="008D0532"/>
  </w:style>
  <w:style w:type="character" w:customStyle="1" w:styleId="WW8Num3z1">
    <w:name w:val="WW8Num3z1"/>
    <w:rsid w:val="008D0532"/>
  </w:style>
  <w:style w:type="character" w:customStyle="1" w:styleId="WW8Num3z2">
    <w:name w:val="WW8Num3z2"/>
    <w:rsid w:val="008D0532"/>
  </w:style>
  <w:style w:type="character" w:customStyle="1" w:styleId="WW8Num3z3">
    <w:name w:val="WW8Num3z3"/>
    <w:rsid w:val="008D0532"/>
  </w:style>
  <w:style w:type="character" w:customStyle="1" w:styleId="WW8Num3z4">
    <w:name w:val="WW8Num3z4"/>
    <w:rsid w:val="008D0532"/>
  </w:style>
  <w:style w:type="character" w:customStyle="1" w:styleId="WW8Num3z5">
    <w:name w:val="WW8Num3z5"/>
    <w:rsid w:val="008D0532"/>
  </w:style>
  <w:style w:type="character" w:customStyle="1" w:styleId="WW8Num3z6">
    <w:name w:val="WW8Num3z6"/>
    <w:rsid w:val="008D0532"/>
  </w:style>
  <w:style w:type="character" w:customStyle="1" w:styleId="WW8Num3z7">
    <w:name w:val="WW8Num3z7"/>
    <w:rsid w:val="008D0532"/>
  </w:style>
  <w:style w:type="character" w:customStyle="1" w:styleId="WW8Num3z8">
    <w:name w:val="WW8Num3z8"/>
    <w:rsid w:val="008D0532"/>
  </w:style>
  <w:style w:type="character" w:customStyle="1" w:styleId="WW8Num4z0">
    <w:name w:val="WW8Num4z0"/>
    <w:rsid w:val="008D0532"/>
  </w:style>
  <w:style w:type="character" w:customStyle="1" w:styleId="WW8Num4z1">
    <w:name w:val="WW8Num4z1"/>
    <w:rsid w:val="008D0532"/>
  </w:style>
  <w:style w:type="character" w:customStyle="1" w:styleId="WW8Num4z2">
    <w:name w:val="WW8Num4z2"/>
    <w:rsid w:val="008D0532"/>
    <w:rPr>
      <w:sz w:val="26"/>
      <w:szCs w:val="26"/>
    </w:rPr>
  </w:style>
  <w:style w:type="character" w:customStyle="1" w:styleId="WW8Num4z3">
    <w:name w:val="WW8Num4z3"/>
    <w:rsid w:val="008D0532"/>
  </w:style>
  <w:style w:type="character" w:customStyle="1" w:styleId="WW8Num4z4">
    <w:name w:val="WW8Num4z4"/>
    <w:rsid w:val="008D0532"/>
  </w:style>
  <w:style w:type="character" w:customStyle="1" w:styleId="WW8Num4z5">
    <w:name w:val="WW8Num4z5"/>
    <w:rsid w:val="008D0532"/>
  </w:style>
  <w:style w:type="character" w:customStyle="1" w:styleId="WW8Num4z6">
    <w:name w:val="WW8Num4z6"/>
    <w:rsid w:val="008D0532"/>
  </w:style>
  <w:style w:type="character" w:customStyle="1" w:styleId="WW8Num4z7">
    <w:name w:val="WW8Num4z7"/>
    <w:rsid w:val="008D0532"/>
  </w:style>
  <w:style w:type="character" w:customStyle="1" w:styleId="WW8Num4z8">
    <w:name w:val="WW8Num4z8"/>
    <w:rsid w:val="008D0532"/>
  </w:style>
  <w:style w:type="character" w:customStyle="1" w:styleId="WW8Num5z0">
    <w:name w:val="WW8Num5z0"/>
    <w:rsid w:val="008D0532"/>
  </w:style>
  <w:style w:type="character" w:customStyle="1" w:styleId="WW8Num5z1">
    <w:name w:val="WW8Num5z1"/>
    <w:rsid w:val="008D0532"/>
  </w:style>
  <w:style w:type="character" w:customStyle="1" w:styleId="WW8Num5z2">
    <w:name w:val="WW8Num5z2"/>
    <w:rsid w:val="008D0532"/>
    <w:rPr>
      <w:sz w:val="26"/>
      <w:szCs w:val="26"/>
    </w:rPr>
  </w:style>
  <w:style w:type="character" w:customStyle="1" w:styleId="WW8Num5z3">
    <w:name w:val="WW8Num5z3"/>
    <w:rsid w:val="008D0532"/>
  </w:style>
  <w:style w:type="character" w:customStyle="1" w:styleId="WW8Num5z4">
    <w:name w:val="WW8Num5z4"/>
    <w:rsid w:val="008D0532"/>
  </w:style>
  <w:style w:type="character" w:customStyle="1" w:styleId="WW8Num5z5">
    <w:name w:val="WW8Num5z5"/>
    <w:rsid w:val="008D0532"/>
  </w:style>
  <w:style w:type="character" w:customStyle="1" w:styleId="WW8Num5z6">
    <w:name w:val="WW8Num5z6"/>
    <w:rsid w:val="008D0532"/>
  </w:style>
  <w:style w:type="character" w:customStyle="1" w:styleId="WW8Num5z7">
    <w:name w:val="WW8Num5z7"/>
    <w:rsid w:val="008D0532"/>
  </w:style>
  <w:style w:type="character" w:customStyle="1" w:styleId="WW8Num5z8">
    <w:name w:val="WW8Num5z8"/>
    <w:rsid w:val="008D0532"/>
  </w:style>
  <w:style w:type="character" w:customStyle="1" w:styleId="aa">
    <w:name w:val="Основной текст Знак"/>
    <w:basedOn w:val="a0"/>
    <w:rsid w:val="008D0532"/>
    <w:rPr>
      <w:rFonts w:eastAsia="Times New Roman" w:cs="Times New Roman"/>
      <w:color w:val="00000A"/>
      <w:szCs w:val="20"/>
      <w:lang w:eastAsia="zh-CN"/>
    </w:rPr>
  </w:style>
  <w:style w:type="character" w:customStyle="1" w:styleId="Internetlink">
    <w:name w:val="Internet link"/>
    <w:basedOn w:val="a0"/>
    <w:rsid w:val="008D0532"/>
    <w:rPr>
      <w:color w:val="0000FF"/>
      <w:u w:val="single"/>
    </w:rPr>
  </w:style>
  <w:style w:type="character" w:customStyle="1" w:styleId="normaltextrun">
    <w:name w:val="normaltextrun"/>
    <w:rsid w:val="008D0532"/>
  </w:style>
  <w:style w:type="character" w:customStyle="1" w:styleId="ab">
    <w:name w:val="Текст выноски Знак"/>
    <w:basedOn w:val="a0"/>
    <w:rsid w:val="008D0532"/>
    <w:rPr>
      <w:rFonts w:ascii="Segoe UI" w:eastAsia="Segoe UI" w:hAnsi="Segoe UI" w:cs="Segoe UI"/>
      <w:sz w:val="18"/>
      <w:szCs w:val="16"/>
    </w:rPr>
  </w:style>
  <w:style w:type="character" w:customStyle="1" w:styleId="TimesNewRoman75pt">
    <w:name w:val="Основной текст + Times New Roman;7;5 pt"/>
    <w:basedOn w:val="a0"/>
    <w:rsid w:val="008D05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5pt">
    <w:name w:val="Основной текст (2) + 7;5 pt;Не полужирный"/>
    <w:basedOn w:val="a0"/>
    <w:rsid w:val="008D05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1">
    <w:name w:val="Заголовок 1 Знак"/>
    <w:basedOn w:val="a0"/>
    <w:rsid w:val="008D0532"/>
    <w:rPr>
      <w:rFonts w:ascii="Cambria" w:eastAsia="Times New Roman" w:hAnsi="Cambria" w:cs="Cambria"/>
      <w:b/>
      <w:bCs/>
      <w:color w:val="365F91"/>
      <w:sz w:val="28"/>
      <w:szCs w:val="25"/>
    </w:rPr>
  </w:style>
  <w:style w:type="character" w:styleId="ac">
    <w:name w:val="Hyperlink"/>
    <w:basedOn w:val="a0"/>
    <w:rsid w:val="008D053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rsid w:val="008D0532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g-binding">
    <w:name w:val="ng-binding"/>
    <w:rsid w:val="008D0532"/>
  </w:style>
  <w:style w:type="character" w:customStyle="1" w:styleId="ad">
    <w:name w:val="Основной текст_"/>
    <w:basedOn w:val="a0"/>
    <w:rsid w:val="008D05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d"/>
    <w:rsid w:val="008D0532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0">
    <w:name w:val="Основной текст1"/>
    <w:basedOn w:val="ad"/>
    <w:rsid w:val="008D05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ulletListFooterTextnumberedTable-NormalRSHBTable-NormalParagraphedeliste1lp111">
    <w:name w:val="Абзац списка Знак;Bullet List Знак;FooterText Знак;numbered Знак;Список дефисный Знак;Table-Normal Знак;RSHB_Table-Normal Знак;Заговок Марина Знак;Paragraphe de liste1 Знак;lp1 Знак;ТЗ список Знак;Абзац списка литеральный Знак;Булет1 Знак;1Булет Знак"/>
    <w:rsid w:val="008D0532"/>
    <w:rPr>
      <w:sz w:val="28"/>
    </w:rPr>
  </w:style>
  <w:style w:type="character" w:customStyle="1" w:styleId="1bodytext1bodytext11">
    <w:name w:val="Основной текст Знак;Основной текст Знак Знак Знак;Знак1 Знак;body text Знак Знак Знак1;body text Знак Знак Знак Знак;Основной текст Знак Знак Знак Знак Знак Знак Знак Знак;Знак11 Знак"/>
    <w:basedOn w:val="a0"/>
    <w:rsid w:val="008D0532"/>
  </w:style>
  <w:style w:type="numbering" w:customStyle="1" w:styleId="WW8Num1">
    <w:name w:val="WW8Num1"/>
    <w:basedOn w:val="a2"/>
    <w:rsid w:val="008D0532"/>
    <w:pPr>
      <w:numPr>
        <w:numId w:val="1"/>
      </w:numPr>
    </w:pPr>
  </w:style>
  <w:style w:type="numbering" w:customStyle="1" w:styleId="WW8Num2">
    <w:name w:val="WW8Num2"/>
    <w:basedOn w:val="a2"/>
    <w:rsid w:val="008D0532"/>
    <w:pPr>
      <w:numPr>
        <w:numId w:val="2"/>
      </w:numPr>
    </w:pPr>
  </w:style>
  <w:style w:type="numbering" w:customStyle="1" w:styleId="WW8Num3">
    <w:name w:val="WW8Num3"/>
    <w:basedOn w:val="a2"/>
    <w:rsid w:val="008D0532"/>
    <w:pPr>
      <w:numPr>
        <w:numId w:val="3"/>
      </w:numPr>
    </w:pPr>
  </w:style>
  <w:style w:type="numbering" w:customStyle="1" w:styleId="WWNum1">
    <w:name w:val="WWNum1"/>
    <w:basedOn w:val="a2"/>
    <w:rsid w:val="008D053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3384E9CDCC5F94FB517D2472EF4238CB7FC56F8A1C5CFC15336594A2B4D17F30A867983EBEA59D03FDDC0B009D219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B4CEAF69D4C6AC8D3CC939522F8D8BC1D6F89CC684F8D0D51E3DBBA3DA5EB0ED23AD59421DECD9F72F37AE1B82BD1E8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B4CEAF69D4C6AC8D3CC939522F8D8BC1D6F89CC684F8D0D51E3DBBA3DA5EB0ED23AD59421DECD9F72F37AE1B82BD1E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4CEAF69D4C6AC8D3CC939522F8D8BC1D6F89CC684F8D0D51E3DBBA3DA5EB0ED23AD59421DECD9F72F37AE1B82BD1E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4548</Words>
  <Characters>25928</Characters>
  <Application>Microsoft Office Word</Application>
  <DocSecurity>0</DocSecurity>
  <Lines>216</Lines>
  <Paragraphs>60</Paragraphs>
  <ScaleCrop>false</ScaleCrop>
  <Company/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Мурманского УФАС России от 19.07.2016 по делу N 07-03пр/16-82Обстоятельства: Поступила жалоба на нарушение порядка проведения торгов по продаже арестованного имущества должников.Решение: Признать жалобу необоснованной.</dc:title>
  <dc:creator>Муравьева Елена Игоревна</dc:creator>
  <cp:lastModifiedBy>to83-shabanova</cp:lastModifiedBy>
  <cp:revision>2</cp:revision>
  <cp:lastPrinted>2021-11-18T16:18:00Z</cp:lastPrinted>
  <dcterms:created xsi:type="dcterms:W3CDTF">2021-11-19T08:32:00Z</dcterms:created>
  <dcterms:modified xsi:type="dcterms:W3CDTF">2021-11-19T08:32:00Z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