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E6" w:rsidRDefault="00F40C83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108585</wp:posOffset>
            </wp:positionV>
            <wp:extent cx="1009650" cy="933450"/>
            <wp:effectExtent l="0" t="0" r="0" b="0"/>
            <wp:wrapTight wrapText="bothSides">
              <wp:wrapPolygon edited="0">
                <wp:start x="-3851" y="0"/>
                <wp:lineTo x="-3851" y="17927"/>
                <wp:lineTo x="21600" y="17927"/>
                <wp:lineTo x="21600" y="0"/>
                <wp:lineTo x="-3851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                                                                       </w:t>
      </w:r>
    </w:p>
    <w:p w:rsidR="00284FE6" w:rsidRDefault="00284FE6">
      <w:pPr>
        <w:jc w:val="center"/>
        <w:rPr>
          <w:sz w:val="26"/>
          <w:szCs w:val="26"/>
        </w:rPr>
      </w:pPr>
    </w:p>
    <w:p w:rsidR="00284FE6" w:rsidRDefault="00284FE6">
      <w:pPr>
        <w:jc w:val="center"/>
        <w:rPr>
          <w:sz w:val="26"/>
          <w:szCs w:val="26"/>
        </w:rPr>
      </w:pPr>
    </w:p>
    <w:p w:rsidR="00284FE6" w:rsidRDefault="00284FE6">
      <w:pPr>
        <w:jc w:val="center"/>
        <w:rPr>
          <w:sz w:val="26"/>
          <w:szCs w:val="26"/>
        </w:rPr>
      </w:pPr>
    </w:p>
    <w:p w:rsidR="00284FE6" w:rsidRDefault="00284FE6">
      <w:pPr>
        <w:jc w:val="center"/>
        <w:rPr>
          <w:sz w:val="26"/>
          <w:szCs w:val="26"/>
        </w:rPr>
      </w:pPr>
    </w:p>
    <w:p w:rsidR="00284FE6" w:rsidRDefault="00284FE6">
      <w:pPr>
        <w:jc w:val="center"/>
        <w:rPr>
          <w:sz w:val="26"/>
          <w:szCs w:val="26"/>
        </w:rPr>
      </w:pPr>
    </w:p>
    <w:p w:rsidR="00284FE6" w:rsidRDefault="00284FE6">
      <w:pPr>
        <w:jc w:val="center"/>
        <w:rPr>
          <w:sz w:val="26"/>
          <w:szCs w:val="26"/>
        </w:rPr>
      </w:pPr>
    </w:p>
    <w:tbl>
      <w:tblPr>
        <w:tblW w:w="9805" w:type="dxa"/>
        <w:tblInd w:w="109" w:type="dxa"/>
        <w:tblLook w:val="0000"/>
      </w:tblPr>
      <w:tblGrid>
        <w:gridCol w:w="9805"/>
      </w:tblGrid>
      <w:tr w:rsidR="00284FE6">
        <w:trPr>
          <w:trHeight w:val="1862"/>
        </w:trPr>
        <w:tc>
          <w:tcPr>
            <w:tcW w:w="9805" w:type="dxa"/>
            <w:shd w:val="clear" w:color="auto" w:fill="FFFFFF"/>
          </w:tcPr>
          <w:p w:rsidR="00284FE6" w:rsidRDefault="00F40C83">
            <w:pPr>
              <w:pStyle w:val="a7"/>
              <w:jc w:val="center"/>
              <w:rPr>
                <w:b/>
                <w:color w:val="0066CC"/>
                <w:sz w:val="26"/>
                <w:szCs w:val="26"/>
              </w:rPr>
            </w:pPr>
            <w:r>
              <w:rPr>
                <w:b/>
                <w:color w:val="0066CC"/>
                <w:sz w:val="26"/>
                <w:szCs w:val="26"/>
              </w:rPr>
              <w:t>УПРАВЛЕНИЕ ФЕДЕРАЛЬНОЙ АНТИМОНОПОЛЬНОЙ СЛУЖБЫ</w:t>
            </w:r>
          </w:p>
          <w:p w:rsidR="00284FE6" w:rsidRDefault="00F40C83">
            <w:pPr>
              <w:jc w:val="center"/>
              <w:rPr>
                <w:b/>
                <w:color w:val="0066CC"/>
                <w:sz w:val="26"/>
                <w:szCs w:val="26"/>
              </w:rPr>
            </w:pPr>
            <w:r>
              <w:rPr>
                <w:b/>
                <w:color w:val="0066CC"/>
                <w:sz w:val="26"/>
                <w:szCs w:val="26"/>
              </w:rPr>
              <w:t>ПО НЕНЕЦКОМУ АВТОНОМНОМУ ОКРУГУ</w:t>
            </w:r>
          </w:p>
          <w:p w:rsidR="00284FE6" w:rsidRDefault="00284FE6">
            <w:pPr>
              <w:jc w:val="center"/>
              <w:rPr>
                <w:b/>
                <w:color w:val="0066CC"/>
                <w:sz w:val="26"/>
                <w:szCs w:val="26"/>
              </w:rPr>
            </w:pPr>
          </w:p>
          <w:p w:rsidR="00284FE6" w:rsidRDefault="00F40C83">
            <w:pPr>
              <w:jc w:val="center"/>
              <w:rPr>
                <w:b/>
                <w:color w:val="0066CC"/>
                <w:sz w:val="26"/>
                <w:szCs w:val="26"/>
              </w:rPr>
            </w:pPr>
            <w:r>
              <w:rPr>
                <w:b/>
                <w:color w:val="0066CC"/>
                <w:sz w:val="26"/>
                <w:szCs w:val="26"/>
              </w:rPr>
              <w:t>РЕШЕНИЕ</w:t>
            </w:r>
          </w:p>
          <w:p w:rsidR="00284FE6" w:rsidRDefault="00F40C83">
            <w:pPr>
              <w:jc w:val="center"/>
            </w:pPr>
            <w:r>
              <w:rPr>
                <w:sz w:val="26"/>
                <w:szCs w:val="26"/>
              </w:rPr>
              <w:t>ПО РЕЗУЛЬТАТАМ РАССМОТРЕНИЯ СВЕДЕНИЙ</w:t>
            </w:r>
          </w:p>
          <w:p w:rsidR="00284FE6" w:rsidRDefault="00F40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НЕДОБРОСОВЕСТНОМ ПОСТАВЩИКЕ</w:t>
            </w:r>
          </w:p>
          <w:p w:rsidR="00284FE6" w:rsidRDefault="00F40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ПОДРЯДЧИКЕ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ИСПОЛНИТЕЛЕЙ)</w:t>
            </w:r>
          </w:p>
          <w:p w:rsidR="00284FE6" w:rsidRDefault="00284FE6">
            <w:pPr>
              <w:pStyle w:val="Heading3"/>
              <w:numPr>
                <w:ilvl w:val="2"/>
                <w:numId w:val="2"/>
              </w:numPr>
              <w:rPr>
                <w:sz w:val="24"/>
                <w:szCs w:val="24"/>
              </w:rPr>
            </w:pPr>
          </w:p>
          <w:p w:rsidR="00284FE6" w:rsidRDefault="00F40C83">
            <w:r>
              <w:t>29.01.2021                                                                                                 №083/10/104-03/2021</w:t>
            </w:r>
          </w:p>
          <w:p w:rsidR="00284FE6" w:rsidRDefault="00F40C83"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г. Нарьян-Мар</w:t>
            </w:r>
          </w:p>
          <w:p w:rsidR="00284FE6" w:rsidRDefault="00284FE6">
            <w:pPr>
              <w:rPr>
                <w:sz w:val="26"/>
                <w:szCs w:val="26"/>
              </w:rPr>
            </w:pPr>
          </w:p>
        </w:tc>
      </w:tr>
    </w:tbl>
    <w:p w:rsidR="00284FE6" w:rsidRDefault="00F40C83">
      <w:pPr>
        <w:jc w:val="both"/>
      </w:pPr>
      <w:r>
        <w:tab/>
        <w:t>Резолютивная часть решения объявлен</w:t>
      </w:r>
      <w:r>
        <w:rPr>
          <w:highlight w:val="white"/>
        </w:rPr>
        <w:t>а 29 января 2021 года.</w:t>
      </w:r>
    </w:p>
    <w:p w:rsidR="00284FE6" w:rsidRDefault="00F40C83">
      <w:pPr>
        <w:jc w:val="both"/>
        <w:rPr>
          <w:highlight w:val="white"/>
        </w:rPr>
      </w:pPr>
      <w:r>
        <w:rPr>
          <w:highlight w:val="white"/>
        </w:rPr>
        <w:tab/>
        <w:t xml:space="preserve">Решение в полном объеме изготовлено 02 февраля 2021 года.      </w:t>
      </w:r>
    </w:p>
    <w:p w:rsidR="00284FE6" w:rsidRDefault="00284FE6">
      <w:pPr>
        <w:jc w:val="both"/>
      </w:pPr>
    </w:p>
    <w:p w:rsidR="00284FE6" w:rsidRDefault="00F40C83">
      <w:pPr>
        <w:jc w:val="both"/>
      </w:pPr>
      <w:r>
        <w:t xml:space="preserve"> </w:t>
      </w:r>
      <w:r>
        <w:tab/>
        <w:t xml:space="preserve">Комиссия </w:t>
      </w:r>
      <w:proofErr w:type="gramStart"/>
      <w:r>
        <w:t>Ненецкого</w:t>
      </w:r>
      <w:proofErr w:type="gramEnd"/>
      <w:r>
        <w:t xml:space="preserve"> УФАС России (далее - Комиссия) в составе: Председатель комиссии:</w:t>
      </w:r>
      <w:r>
        <w:t>– временно исполняющий обязанности руководителя, замес</w:t>
      </w:r>
      <w:r>
        <w:t xml:space="preserve">титель руководителя Управления; </w:t>
      </w:r>
      <w:proofErr w:type="gramStart"/>
      <w:r>
        <w:t>Члены комиссии:</w:t>
      </w:r>
      <w:r>
        <w:t xml:space="preserve">— ведущий специалист — эксперт Управления, </w:t>
      </w:r>
      <w:r>
        <w:t>— специалист 1 разряда Управления</w:t>
      </w:r>
      <w:r>
        <w:rPr>
          <w:highlight w:val="white"/>
        </w:rPr>
        <w:t xml:space="preserve">, </w:t>
      </w:r>
      <w:r>
        <w:t>рассмотрев на основании статьи 95, статьи 99, статьи 104 Федерального закона от 0</w:t>
      </w:r>
      <w:r>
        <w:t>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25.11.2013 № 1062 «О порядке ведения реестра недобросовестных поставщи</w:t>
      </w:r>
      <w:r>
        <w:t xml:space="preserve">ков (подрядчиков, исполнителей)», </w:t>
      </w:r>
      <w:r>
        <w:rPr>
          <w:color w:val="000000"/>
        </w:rPr>
        <w:t xml:space="preserve">Постановления </w:t>
      </w:r>
      <w:r>
        <w:t>Правительства РФ от 26.08.2013 N</w:t>
      </w:r>
      <w:proofErr w:type="gramEnd"/>
      <w:r>
        <w:t xml:space="preserve"> </w:t>
      </w:r>
      <w:proofErr w:type="gramStart"/>
      <w:r>
        <w:t>728 «Об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</w:t>
      </w:r>
      <w:r>
        <w:t>и изменений в некоторые акты Правительства Российской Федерации», Приказа Ненецкого УФАС России от 26.01.2021 № 7, сведения об Обществе с ограниченной ответственностью «</w:t>
      </w:r>
      <w:proofErr w:type="spellStart"/>
      <w:r>
        <w:t>ДаВинчи</w:t>
      </w:r>
      <w:proofErr w:type="spellEnd"/>
      <w:r>
        <w:t xml:space="preserve"> </w:t>
      </w:r>
      <w:proofErr w:type="spellStart"/>
      <w:r>
        <w:t>Компани</w:t>
      </w:r>
      <w:proofErr w:type="spellEnd"/>
      <w:r>
        <w:t>»</w:t>
      </w:r>
      <w:bookmarkStart w:id="0" w:name="__DdeLink__698_14481995932"/>
      <w:r>
        <w:t xml:space="preserve"> </w:t>
      </w:r>
      <w:bookmarkEnd w:id="0"/>
      <w:r>
        <w:t>(далее — ООО «</w:t>
      </w:r>
      <w:proofErr w:type="spellStart"/>
      <w:r>
        <w:t>ДаВинчи</w:t>
      </w:r>
      <w:proofErr w:type="spellEnd"/>
      <w:r>
        <w:t xml:space="preserve"> </w:t>
      </w:r>
      <w:proofErr w:type="spellStart"/>
      <w:r>
        <w:t>Компани</w:t>
      </w:r>
      <w:proofErr w:type="spellEnd"/>
      <w:r>
        <w:t>», Участник закупки, Общество, Исполнител</w:t>
      </w:r>
      <w:r>
        <w:t xml:space="preserve">ь), представленные муниципальным казенным учреждением </w:t>
      </w:r>
      <w:r>
        <w:rPr>
          <w:color w:val="000000"/>
        </w:rPr>
        <w:t>Заполярного района «Северное</w:t>
      </w:r>
      <w:proofErr w:type="gramEnd"/>
      <w:r>
        <w:rPr>
          <w:color w:val="000000"/>
        </w:rPr>
        <w:t>» (</w:t>
      </w:r>
      <w:proofErr w:type="gramStart"/>
      <w:r>
        <w:rPr>
          <w:color w:val="000000"/>
        </w:rPr>
        <w:t xml:space="preserve">далее — МКУ ЗР «Северное», Заказчик) для включения в Реестр недобросовестных поставщиков (подрядчиков, исполнителей) </w:t>
      </w:r>
      <w:r>
        <w:t>в связи с принятием Заказчиком решения об односторонне</w:t>
      </w:r>
      <w:r>
        <w:t xml:space="preserve">м отказе от исполнения </w:t>
      </w:r>
      <w:r>
        <w:rPr>
          <w:color w:val="000000"/>
        </w:rPr>
        <w:t>муниципального контракта № 0184300000418000185-0291177-01 от 01.02.2019 г. на оказание услуг по корректировке проектной документации объекта «Ферма на 50 голов в с. Ома» (Извещение</w:t>
      </w:r>
      <w:r>
        <w:t xml:space="preserve"> </w:t>
      </w:r>
      <w:hyperlink r:id="rId6">
        <w:r>
          <w:rPr>
            <w:rStyle w:val="-"/>
            <w:color w:val="00000A"/>
            <w:u w:val="none"/>
          </w:rPr>
          <w:t>№ 0184300000418000185</w:t>
        </w:r>
      </w:hyperlink>
      <w:r>
        <w:rPr>
          <w:color w:val="000000"/>
        </w:rPr>
        <w:t>)</w:t>
      </w:r>
      <w:r>
        <w:t xml:space="preserve">, в отсутствии представителей Заказчика, в отсутствии представителей Исполнителя, в надлежащем порядке уведомлены, </w:t>
      </w:r>
      <w:proofErr w:type="gramEnd"/>
    </w:p>
    <w:p w:rsidR="00284FE6" w:rsidRDefault="00284FE6">
      <w:pPr>
        <w:jc w:val="center"/>
      </w:pPr>
    </w:p>
    <w:p w:rsidR="00284FE6" w:rsidRDefault="00F40C83">
      <w:pPr>
        <w:jc w:val="center"/>
      </w:pPr>
      <w:r>
        <w:t>УСТАНОВИЛА:</w:t>
      </w:r>
    </w:p>
    <w:p w:rsidR="00284FE6" w:rsidRDefault="00F40C83">
      <w:pPr>
        <w:ind w:firstLine="567"/>
        <w:jc w:val="both"/>
      </w:pPr>
      <w:proofErr w:type="gramStart"/>
      <w:r>
        <w:rPr>
          <w:highlight w:val="white"/>
        </w:rPr>
        <w:t xml:space="preserve">В соответствии со статьей 104 Федерального </w:t>
      </w:r>
      <w:r>
        <w:rPr>
          <w:highlight w:val="white"/>
        </w:rPr>
        <w:t>закона от 05.04.2013 N 44-ФЗ "О контрактной системе в сфере закупок товаров, работ и услуг для обеспечения государственных и муниципальных нужд" (далее - Закон о контрактной системе, Закон N44-ФЗ) в Ненецкое УФАС России (далее – антимонопольный орган) были</w:t>
      </w:r>
      <w:r>
        <w:rPr>
          <w:highlight w:val="white"/>
        </w:rPr>
        <w:t xml:space="preserve"> представлены </w:t>
      </w:r>
      <w:r>
        <w:t xml:space="preserve">заявление и решение Заказчика об одностороннем отказе от исполнения муниципального </w:t>
      </w:r>
      <w:r>
        <w:lastRenderedPageBreak/>
        <w:t>контракта,</w:t>
      </w:r>
      <w:r>
        <w:rPr>
          <w:highlight w:val="white"/>
        </w:rPr>
        <w:t xml:space="preserve"> материалы и информация (</w:t>
      </w:r>
      <w:proofErr w:type="spellStart"/>
      <w:r>
        <w:rPr>
          <w:highlight w:val="white"/>
        </w:rPr>
        <w:t>вх</w:t>
      </w:r>
      <w:proofErr w:type="spellEnd"/>
      <w:r>
        <w:rPr>
          <w:highlight w:val="white"/>
        </w:rPr>
        <w:t>. № 92), свидетельствующие</w:t>
      </w:r>
      <w:proofErr w:type="gramEnd"/>
      <w:r>
        <w:rPr>
          <w:highlight w:val="white"/>
        </w:rPr>
        <w:t xml:space="preserve">, по мнению Заказчика, </w:t>
      </w:r>
      <w:r>
        <w:t>о недобросовестном поведен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ДаВинчи</w:t>
      </w:r>
      <w:proofErr w:type="spellEnd"/>
      <w:r>
        <w:t xml:space="preserve"> </w:t>
      </w:r>
      <w:proofErr w:type="spellStart"/>
      <w:r>
        <w:t>Компани</w:t>
      </w:r>
      <w:proofErr w:type="spellEnd"/>
      <w:r>
        <w:t>».</w:t>
      </w:r>
    </w:p>
    <w:p w:rsidR="00284FE6" w:rsidRDefault="00F40C83">
      <w:pPr>
        <w:ind w:firstLine="567"/>
        <w:jc w:val="both"/>
      </w:pPr>
      <w:r>
        <w:t>Комиссией в целях объ</w:t>
      </w:r>
      <w:r>
        <w:t>ективной оценки обращения о включении сведений в реестр недобросовестных поставщиков (подрядчиков, исполнителей) от Заказчика</w:t>
      </w:r>
      <w:r>
        <w:rPr>
          <w:color w:val="000000"/>
        </w:rPr>
        <w:t xml:space="preserve"> </w:t>
      </w:r>
      <w:r>
        <w:t>и от Участника закупки истребованы письменные пояснения и соответствующие сведения. На дату рассмотрения дела Заказчиком и Обществ</w:t>
      </w:r>
      <w:r>
        <w:t xml:space="preserve">ом представлены соответствующие письменные материалы и пояснения.  </w:t>
      </w:r>
    </w:p>
    <w:p w:rsidR="00284FE6" w:rsidRDefault="00F40C83">
      <w:pPr>
        <w:jc w:val="both"/>
      </w:pPr>
      <w:r>
        <w:tab/>
        <w:t xml:space="preserve">Из материалов дела следует: 17 декабря </w:t>
      </w:r>
      <w:r>
        <w:rPr>
          <w:rFonts w:eastAsia="SimSun"/>
        </w:rPr>
        <w:t xml:space="preserve">2018 года на официальном сайте ЕИС Заказчиком — МКУ ЗР «Северное» было размещено извещение № </w:t>
      </w:r>
      <w:r>
        <w:rPr>
          <w:rFonts w:eastAsia="SimSun"/>
          <w:color w:val="000000"/>
        </w:rPr>
        <w:t>0184300000418000185 и документация о закупке в форме эл</w:t>
      </w:r>
      <w:r>
        <w:rPr>
          <w:rFonts w:eastAsia="SimSun"/>
          <w:color w:val="000000"/>
        </w:rPr>
        <w:t xml:space="preserve">ектронного аукциона на оказание услуг по корректировке проектной документации объекта «Ферма 50 голов </w:t>
      </w:r>
      <w:proofErr w:type="gramStart"/>
      <w:r>
        <w:rPr>
          <w:rFonts w:eastAsia="SimSun"/>
          <w:color w:val="000000"/>
        </w:rPr>
        <w:t>в</w:t>
      </w:r>
      <w:proofErr w:type="gramEnd"/>
      <w:r>
        <w:rPr>
          <w:rFonts w:eastAsia="SimSun"/>
          <w:color w:val="000000"/>
        </w:rPr>
        <w:t xml:space="preserve"> с. Ома». Начальная (максимальная)</w:t>
      </w:r>
      <w:r>
        <w:t xml:space="preserve"> цена контракта — 2 575 000, 00 рублей. Согласно извещению о проведении электронного аукциона, дата и время окончания подачи заявок — 25.12.2018 09:00. По результатам проведенного электронного аукциона между МКУ «Северное» и ООО «</w:t>
      </w:r>
      <w:proofErr w:type="spellStart"/>
      <w:r>
        <w:t>ДаВинчи</w:t>
      </w:r>
      <w:proofErr w:type="spellEnd"/>
      <w:r>
        <w:t xml:space="preserve"> </w:t>
      </w:r>
      <w:proofErr w:type="spellStart"/>
      <w:r>
        <w:t>Компани</w:t>
      </w:r>
      <w:proofErr w:type="spellEnd"/>
      <w:r>
        <w:t>» был заклю</w:t>
      </w:r>
      <w:r>
        <w:t xml:space="preserve">чен муниципальный контракт </w:t>
      </w:r>
      <w:r>
        <w:rPr>
          <w:color w:val="000000"/>
        </w:rPr>
        <w:t>№ 0184300000418000185-0291177-01 от 01.02.2019 г. (далее – Контракт)</w:t>
      </w:r>
      <w:r>
        <w:t xml:space="preserve"> </w:t>
      </w:r>
      <w:r>
        <w:rPr>
          <w:rFonts w:eastAsia="Calibri"/>
        </w:rPr>
        <w:t xml:space="preserve">на выполнение работ по корректировке проектной документации объекта «Ферма на 50 голов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с. Ома»</w:t>
      </w:r>
      <w:r>
        <w:t>. Цена контракта составляет 1 927 125,00 рублей.</w:t>
      </w:r>
    </w:p>
    <w:p w:rsidR="00284FE6" w:rsidRDefault="00F40C83">
      <w:pPr>
        <w:ind w:firstLine="540"/>
        <w:jc w:val="both"/>
      </w:pPr>
      <w:proofErr w:type="gramStart"/>
      <w:r>
        <w:t xml:space="preserve">В соответствии </w:t>
      </w:r>
      <w:r>
        <w:t>с пунктом 1.1 Контракта Исполнитель принимает на себя обязательства выполнить работы по корректировке проектной документации объекта «Ферма на 50 голов в с. Ома» в рамках реализации муниципальной программы «Комплексное развитие поселений муниципального рай</w:t>
      </w:r>
      <w:r>
        <w:t>она «Заполярный район» на 2017-2022 годы», подпрограмма 5 «Развитие социальной инфраструктуры и создание комфортных условий проживания на территории муниципального района «Заполярный район», утвержденный Постановлением Администрации муниципального</w:t>
      </w:r>
      <w:proofErr w:type="gramEnd"/>
      <w:r>
        <w:t xml:space="preserve"> района «</w:t>
      </w:r>
      <w:r>
        <w:t>За</w:t>
      </w:r>
      <w:r>
        <w:t xml:space="preserve">полярный район» от 02.11.2016 № 247п (ред. от 20.03.2018). Надлежащим результатом выполнения работ является откорректированная документация, по которой получены все необходимые согласования и положительные заключения экспертизы (пункт 1.3 Контракта). </w:t>
      </w:r>
      <w:r w:rsidRPr="00F40C83">
        <w:t xml:space="preserve"> </w:t>
      </w:r>
      <w:r>
        <w:t>Со</w:t>
      </w:r>
      <w:r>
        <w:t xml:space="preserve">гласно условиям </w:t>
      </w:r>
      <w:proofErr w:type="spellStart"/>
      <w:r>
        <w:t>Контра</w:t>
      </w:r>
      <w:r>
        <w:t>кита</w:t>
      </w:r>
      <w:proofErr w:type="spellEnd"/>
      <w:r>
        <w:t xml:space="preserve"> Заказчик обязуется: пункт </w:t>
      </w:r>
      <w:r w:rsidRPr="00F40C83">
        <w:t xml:space="preserve">3.1.1. </w:t>
      </w:r>
      <w:proofErr w:type="gramStart"/>
      <w:r>
        <w:t>В течение 10 (Десяти) рабочих дней с момента заключения Контакта передать Исполнителю по акту приема-передачи или накладной проектную документацию, подлежащую корректировке, градостроительный план</w:t>
      </w:r>
      <w:r>
        <w:t xml:space="preserve"> земельного участка, исполнительную документацию на выполненный объем строительно-монтажных работ, техническое заключение по результатам обследования, технические отчеты по инженерно-геодезическим и инженерно-геологическим изысканиям и иную информацию, нео</w:t>
      </w:r>
      <w:r>
        <w:t>бходимую для выполнения обязательств в соответствии с п. 1.1 настоящего Контракта;</w:t>
      </w:r>
      <w:proofErr w:type="gramEnd"/>
      <w:r>
        <w:t xml:space="preserve"> пункт </w:t>
      </w:r>
      <w:r w:rsidRPr="00F40C83">
        <w:t xml:space="preserve">3.1.2. </w:t>
      </w:r>
      <w:r>
        <w:t>Оказывать содействие Исполнителю  в  выполнении  Работ по настоящему Контракту.</w:t>
      </w:r>
    </w:p>
    <w:p w:rsidR="00284FE6" w:rsidRDefault="00F40C83">
      <w:pPr>
        <w:jc w:val="both"/>
      </w:pPr>
      <w:r>
        <w:tab/>
        <w:t>В соответствии с пунктами 4.1 и 4.2 Контракта установлены следующие сроки выпол</w:t>
      </w:r>
      <w:r>
        <w:t xml:space="preserve">нения работ: начало - с момента заключения Контракта, окончание - не позднее 31 августа 2019 года. Датой выполнения Исполнителем работ, являющихся предметом Контракта, </w:t>
      </w:r>
      <w:r>
        <w:rPr>
          <w:highlight w:val="white"/>
        </w:rPr>
        <w:t>считается дата подписания Сторонами акта сдачи-приемки выполненных работ (без претензий)</w:t>
      </w:r>
      <w:r>
        <w:rPr>
          <w:highlight w:val="white"/>
        </w:rPr>
        <w:t>, в соответствии с разделом 5 настоящего Контракта (пункт 4.3 Контракта).</w:t>
      </w:r>
    </w:p>
    <w:p w:rsidR="00284FE6" w:rsidRDefault="00F40C83">
      <w:pPr>
        <w:jc w:val="both"/>
      </w:pPr>
      <w:r>
        <w:rPr>
          <w:highlight w:val="white"/>
        </w:rPr>
        <w:tab/>
        <w:t>Согласно пункту 5.2 Контракта по завершению работ Исполнитель сдает готовую проектно-сметную документацию Заказчику, который в течени</w:t>
      </w:r>
      <w:proofErr w:type="gramStart"/>
      <w:r>
        <w:rPr>
          <w:highlight w:val="white"/>
        </w:rPr>
        <w:t>и</w:t>
      </w:r>
      <w:proofErr w:type="gramEnd"/>
      <w:r>
        <w:rPr>
          <w:highlight w:val="white"/>
        </w:rPr>
        <w:t xml:space="preserve"> 7 (семи) дней проверяет ее. Пр</w:t>
      </w:r>
      <w:r>
        <w:rPr>
          <w:highlight w:val="white"/>
        </w:rPr>
        <w:t>и наличии замеча</w:t>
      </w:r>
      <w:r>
        <w:rPr>
          <w:highlight w:val="white"/>
        </w:rPr>
        <w:t>ний, Исполнитель обязан устранить их в семидневный срок и сдать проектно-сметную документацию с устраненными замечаниями Заказчику, который осуществляет повторную проверку в течени</w:t>
      </w:r>
      <w:proofErr w:type="gramStart"/>
      <w:r>
        <w:rPr>
          <w:highlight w:val="white"/>
        </w:rPr>
        <w:t>и</w:t>
      </w:r>
      <w:proofErr w:type="gramEnd"/>
      <w:r>
        <w:rPr>
          <w:highlight w:val="white"/>
        </w:rPr>
        <w:t xml:space="preserve"> 7 (семи) дней. При отсутствии замечаний, Исполнитель по доверенности Заказ</w:t>
      </w:r>
      <w:r>
        <w:rPr>
          <w:highlight w:val="white"/>
        </w:rPr>
        <w:t xml:space="preserve">чика направляет проектно-сметную документацию в Государственную инспекцию строительного и жилищного надзора Ненецкого автономного округа для проведения проверки достоверности сметной стоимости инвестиционного проекта. Выявленные Государственной инспекцией </w:t>
      </w:r>
      <w:r>
        <w:rPr>
          <w:highlight w:val="white"/>
        </w:rPr>
        <w:t xml:space="preserve">строительного и </w:t>
      </w:r>
      <w:r>
        <w:rPr>
          <w:highlight w:val="white"/>
        </w:rPr>
        <w:lastRenderedPageBreak/>
        <w:t>жилищного надзора Ненецкого автономного округа замечания Исполнитель обязан устранить в согласованный с Заказчиком срок и повторно направить ее с устраненными замечаниями в Государственную инспекцию строительного и жилищного надзора Ненецко</w:t>
      </w:r>
      <w:r>
        <w:rPr>
          <w:highlight w:val="white"/>
        </w:rPr>
        <w:t xml:space="preserve">го автономного округа для проведения проверки достоверности сметной стоимости (пункт 5.3).  </w:t>
      </w:r>
    </w:p>
    <w:p w:rsidR="00284FE6" w:rsidRDefault="00F40C83">
      <w:pPr>
        <w:jc w:val="both"/>
        <w:rPr>
          <w:highlight w:val="white"/>
        </w:rPr>
      </w:pPr>
      <w:r>
        <w:rPr>
          <w:highlight w:val="white"/>
        </w:rPr>
        <w:tab/>
        <w:t>В соответствии с пунктом 5.4 Контракта при получении положительного заключения Государственной инспекции строительного и жилищного надзора Ненецкого автономного о</w:t>
      </w:r>
      <w:r>
        <w:rPr>
          <w:highlight w:val="white"/>
        </w:rPr>
        <w:t>круга о достоверности сметной стоимости инвестиционного проекта, Исполнитель представляет Заказчику акт сдачи-приемки выполненных работ с приложением к нему комплектов документации.</w:t>
      </w:r>
    </w:p>
    <w:p w:rsidR="00284FE6" w:rsidRDefault="00F40C83">
      <w:pPr>
        <w:ind w:firstLine="540"/>
        <w:jc w:val="both"/>
        <w:rPr>
          <w:highlight w:val="white"/>
        </w:rPr>
      </w:pPr>
      <w:r>
        <w:rPr>
          <w:highlight w:val="white"/>
        </w:rPr>
        <w:tab/>
        <w:t>Согласно пункта 5.5 Контракта приемка работ Заказчиком осуществляется в т</w:t>
      </w:r>
      <w:r>
        <w:rPr>
          <w:highlight w:val="white"/>
        </w:rPr>
        <w:t>ечени</w:t>
      </w:r>
      <w:proofErr w:type="gramStart"/>
      <w:r>
        <w:rPr>
          <w:highlight w:val="white"/>
        </w:rPr>
        <w:t>и</w:t>
      </w:r>
      <w:proofErr w:type="gramEnd"/>
      <w:r>
        <w:rPr>
          <w:highlight w:val="white"/>
        </w:rPr>
        <w:t xml:space="preserve"> 10 (десяти) дней с момента получения документации, указанной в пункте 5.4 Контракта. Основанием для отказа в приемке работ является несоответствие документации, разработанной Исполнителем, требованиям действующего законодательства и нормативных доку</w:t>
      </w:r>
      <w:r>
        <w:rPr>
          <w:highlight w:val="white"/>
        </w:rPr>
        <w:t>ментов, государственным стандартам, рекомендациям и замечаниям экспертных органов, а также требованиям и указаниям Заказчика, изложенным в Контракте.</w:t>
      </w:r>
    </w:p>
    <w:p w:rsidR="00284FE6" w:rsidRDefault="00F40C83">
      <w:pPr>
        <w:jc w:val="both"/>
        <w:rPr>
          <w:highlight w:val="white"/>
        </w:rPr>
      </w:pPr>
      <w:r>
        <w:rPr>
          <w:highlight w:val="white"/>
        </w:rPr>
        <w:tab/>
        <w:t>В соответствии с пунктом 10.1 Контракта расторжение контракта допускается по соглашению сторон, по решени</w:t>
      </w:r>
      <w:r>
        <w:rPr>
          <w:highlight w:val="white"/>
        </w:rPr>
        <w:t>ю суда, а также в случае одностороннего отказа стороны контракта от исполнения контракта в соответствии с гражданским законодательством.</w:t>
      </w:r>
    </w:p>
    <w:p w:rsidR="00284FE6" w:rsidRDefault="00F40C83">
      <w:pPr>
        <w:jc w:val="both"/>
        <w:rPr>
          <w:highlight w:val="white"/>
        </w:rPr>
      </w:pPr>
      <w:r>
        <w:rPr>
          <w:highlight w:val="white"/>
        </w:rPr>
        <w:tab/>
      </w:r>
      <w:proofErr w:type="gramStart"/>
      <w:r>
        <w:rPr>
          <w:highlight w:val="white"/>
        </w:rPr>
        <w:t>Рассмотрев обращение и иные материалы дела №083/10/104-03/2020 Комиссия Ненецкого УФАС России приходит</w:t>
      </w:r>
      <w:proofErr w:type="gramEnd"/>
      <w:r>
        <w:rPr>
          <w:highlight w:val="white"/>
        </w:rPr>
        <w:t xml:space="preserve"> к следующим выв</w:t>
      </w:r>
      <w:r>
        <w:rPr>
          <w:highlight w:val="white"/>
        </w:rPr>
        <w:t>одам.</w:t>
      </w:r>
    </w:p>
    <w:p w:rsidR="00284FE6" w:rsidRDefault="00F40C83">
      <w:pPr>
        <w:jc w:val="both"/>
        <w:rPr>
          <w:highlight w:val="white"/>
        </w:rPr>
      </w:pPr>
      <w:r>
        <w:rPr>
          <w:highlight w:val="white"/>
        </w:rPr>
        <w:tab/>
        <w:t xml:space="preserve">Порядок расторжения контракта </w:t>
      </w:r>
      <w:r>
        <w:rPr>
          <w:highlight w:val="white"/>
        </w:rPr>
        <w:t xml:space="preserve">определен статьей 95 Закона </w:t>
      </w:r>
      <w:r>
        <w:rPr>
          <w:highlight w:val="white"/>
        </w:rPr>
        <w:t>о контрактной системе.</w:t>
      </w:r>
    </w:p>
    <w:p w:rsidR="00284FE6" w:rsidRDefault="00F40C83">
      <w:pPr>
        <w:overflowPunct w:val="0"/>
        <w:jc w:val="both"/>
        <w:rPr>
          <w:rFonts w:eastAsia="Calibri"/>
          <w:lang w:eastAsia="en-US"/>
        </w:rPr>
      </w:pPr>
      <w:r>
        <w:rPr>
          <w:highlight w:val="white"/>
        </w:rPr>
        <w:tab/>
        <w:t xml:space="preserve">В соответствии с частью 8 статьи 95 Закона о контрактной системе </w:t>
      </w:r>
      <w:r>
        <w:rPr>
          <w:rFonts w:eastAsia="Calibri"/>
          <w:highlight w:val="white"/>
          <w:lang w:eastAsia="en-US"/>
        </w:rPr>
        <w:t>расторжение контракта допускается по соглашению сторон, по решению суда, в случае одностороннего отказ</w:t>
      </w:r>
      <w:r>
        <w:rPr>
          <w:rFonts w:eastAsia="Calibri"/>
          <w:highlight w:val="white"/>
          <w:lang w:eastAsia="en-US"/>
        </w:rPr>
        <w:t>а стороны контракта от исполнения контракта в соответствии с гражданским законодательством.</w:t>
      </w:r>
    </w:p>
    <w:p w:rsidR="00284FE6" w:rsidRDefault="00F40C83">
      <w:pPr>
        <w:overflowPunct w:val="0"/>
        <w:jc w:val="both"/>
        <w:rPr>
          <w:highlight w:val="white"/>
        </w:rPr>
      </w:pPr>
      <w:r>
        <w:rPr>
          <w:rFonts w:eastAsia="Calibri"/>
          <w:highlight w:val="white"/>
          <w:lang w:eastAsia="en-US"/>
        </w:rPr>
        <w:tab/>
      </w:r>
      <w:r>
        <w:rPr>
          <w:highlight w:val="white"/>
        </w:rPr>
        <w:t xml:space="preserve">В соответствии с частью 9 статьи 95 Закона о контрактной системе </w:t>
      </w:r>
      <w:r>
        <w:rPr>
          <w:rFonts w:eastAsia="Calibri"/>
          <w:highlight w:val="white"/>
          <w:lang w:eastAsia="en-US"/>
        </w:rPr>
        <w:t>Заказчик вправе принять решение об одностороннем отказе от исполнения контракта по основаниям, пре</w:t>
      </w:r>
      <w:r>
        <w:rPr>
          <w:rFonts w:eastAsia="Calibri"/>
          <w:highlight w:val="white"/>
          <w:lang w:eastAsia="en-US"/>
        </w:rPr>
        <w:t>дусмотренным Гражданским кодексом Российской Федерации для одностороннего отказа от исполнения отдельных видов обязательств, при условии, если это было предусмотрено контрактом.</w:t>
      </w:r>
    </w:p>
    <w:p w:rsidR="00284FE6" w:rsidRDefault="00F40C83">
      <w:pPr>
        <w:overflowPunct w:val="0"/>
        <w:jc w:val="both"/>
        <w:rPr>
          <w:highlight w:val="white"/>
        </w:rPr>
      </w:pPr>
      <w:r>
        <w:rPr>
          <w:rFonts w:ascii="Times New Roman CYR" w:eastAsia="Calibri" w:hAnsi="Times New Roman CYR"/>
          <w:highlight w:val="white"/>
          <w:lang w:eastAsia="en-US"/>
        </w:rPr>
        <w:tab/>
        <w:t xml:space="preserve">Из </w:t>
      </w:r>
      <w:r>
        <w:rPr>
          <w:rFonts w:ascii="Times New Roman CYR" w:hAnsi="Times New Roman CYR"/>
          <w:highlight w:val="white"/>
        </w:rPr>
        <w:t xml:space="preserve">обращения Заказчика следует, что основанием для принятия (повторного) Решения об одностороннем отказе от исполнения контракта от 15.12.2020г (далее - Решение) послужило то, что </w:t>
      </w:r>
      <w:r>
        <w:rPr>
          <w:rFonts w:eastAsia="Calibri"/>
          <w:bCs/>
          <w:highlight w:val="white"/>
          <w:lang w:eastAsia="en-US"/>
        </w:rPr>
        <w:t>Обществом работы не выполнены в полном объеме, результат работ Заказчику не пер</w:t>
      </w:r>
      <w:r>
        <w:rPr>
          <w:rFonts w:eastAsia="Calibri"/>
          <w:bCs/>
          <w:highlight w:val="white"/>
          <w:lang w:eastAsia="en-US"/>
        </w:rPr>
        <w:t>едан,</w:t>
      </w:r>
      <w:r>
        <w:rPr>
          <w:rFonts w:eastAsia="Calibri"/>
          <w:highlight w:val="white"/>
          <w:lang w:eastAsia="en-US"/>
        </w:rPr>
        <w:t xml:space="preserve"> а нарушение конечного срока исполнения обязательств, установленного контрактом, составляет 472 календарных дня (на 15.12.2020). </w:t>
      </w:r>
    </w:p>
    <w:p w:rsidR="00284FE6" w:rsidRDefault="00F40C83">
      <w:pPr>
        <w:ind w:firstLine="540"/>
        <w:contextualSpacing/>
        <w:jc w:val="both"/>
        <w:rPr>
          <w:highlight w:val="white"/>
        </w:rPr>
      </w:pPr>
      <w:r>
        <w:rPr>
          <w:color w:val="000000"/>
          <w:shd w:val="clear" w:color="auto" w:fill="FFFFFF"/>
        </w:rPr>
        <w:t xml:space="preserve">Решение направлено </w:t>
      </w:r>
      <w:proofErr w:type="gramStart"/>
      <w:r>
        <w:rPr>
          <w:color w:val="000000"/>
          <w:shd w:val="clear" w:color="auto" w:fill="FFFFFF"/>
        </w:rPr>
        <w:t>в адрес Исполнителя по почте заказным письмом с уведомлением о вручении по адресу</w:t>
      </w:r>
      <w:proofErr w:type="gramEnd"/>
      <w:r>
        <w:rPr>
          <w:color w:val="000000"/>
          <w:shd w:val="clear" w:color="auto" w:fill="FFFFFF"/>
        </w:rPr>
        <w:t xml:space="preserve">, указанному в </w:t>
      </w:r>
      <w:r>
        <w:rPr>
          <w:color w:val="000000"/>
          <w:shd w:val="clear" w:color="auto" w:fill="FFFFFF"/>
        </w:rPr>
        <w:t>Контракте, а также размещено в ЕИС.</w:t>
      </w:r>
    </w:p>
    <w:p w:rsidR="00284FE6" w:rsidRDefault="00F40C83">
      <w:pPr>
        <w:ind w:firstLine="540"/>
        <w:contextualSpacing/>
        <w:jc w:val="both"/>
        <w:rPr>
          <w:highlight w:val="white"/>
        </w:rPr>
      </w:pPr>
      <w:proofErr w:type="gramStart"/>
      <w:r>
        <w:rPr>
          <w:color w:val="000000"/>
          <w:highlight w:val="white"/>
        </w:rPr>
        <w:t xml:space="preserve">В соответствии с </w:t>
      </w:r>
      <w:r>
        <w:rPr>
          <w:color w:val="0000FF"/>
          <w:highlight w:val="white"/>
        </w:rPr>
        <w:t>частью 12 статьи 95</w:t>
      </w:r>
      <w:r>
        <w:rPr>
          <w:highlight w:val="white"/>
        </w:rPr>
        <w:t xml:space="preserve"> Закона, решение заказчика об одностороннем отказе от исполнения контракта не позднее чем в течение трех рабочих дней с даты принятия указанного решения, размещается в единой информаци</w:t>
      </w:r>
      <w:r>
        <w:rPr>
          <w:highlight w:val="white"/>
        </w:rPr>
        <w:t>онной системе и направляется поставщику (подрядчику, исполнителю) по почте заказным письмом с уведомлением о вручении по адресу поставщика (подрядчика, исполнителя), указанному в контракте, а также телеграммой, либо посредством</w:t>
      </w:r>
      <w:proofErr w:type="gramEnd"/>
      <w:r>
        <w:rPr>
          <w:highlight w:val="white"/>
        </w:rPr>
        <w:t xml:space="preserve"> факсимильной связи, либо по </w:t>
      </w:r>
      <w:r>
        <w:rPr>
          <w:highlight w:val="white"/>
        </w:rPr>
        <w:t>адресу электронной почты, либо с использованием иных сре</w:t>
      </w:r>
      <w:proofErr w:type="gramStart"/>
      <w:r>
        <w:rPr>
          <w:highlight w:val="white"/>
        </w:rPr>
        <w:t>дств св</w:t>
      </w:r>
      <w:proofErr w:type="gramEnd"/>
      <w:r>
        <w:rPr>
          <w:highlight w:val="white"/>
        </w:rPr>
        <w:t>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исполнителю). Выполнение заказчиком требований настоящ</w:t>
      </w:r>
      <w:r>
        <w:rPr>
          <w:highlight w:val="white"/>
        </w:rPr>
        <w:t xml:space="preserve">ей части считается надлежащим уведомлением поставщика (подрядчика, исполнителя) об одностороннем отказе от исполнения </w:t>
      </w:r>
      <w:r>
        <w:rPr>
          <w:highlight w:val="white"/>
        </w:rPr>
        <w:lastRenderedPageBreak/>
        <w:t>контракта. Датой такого надлежащего уведомления признается дата получения заказчиком подтверждения о вручении поставщику (подрядчику, испо</w:t>
      </w:r>
      <w:r>
        <w:rPr>
          <w:highlight w:val="white"/>
        </w:rPr>
        <w:t>лнителю) указанного уведомления либо дата получения заказчиком информации об отсутствии поставщика (подрядчика, исполнителя) по его адресу, указанному в контракте. При невозможности получения указанных подтверждения либо информации датой такого надлежащего</w:t>
      </w:r>
      <w:r>
        <w:rPr>
          <w:highlight w:val="white"/>
        </w:rPr>
        <w:t xml:space="preserve"> уведомления признается дата </w:t>
      </w:r>
      <w:proofErr w:type="gramStart"/>
      <w:r>
        <w:rPr>
          <w:highlight w:val="white"/>
        </w:rPr>
        <w:t>по истечении тридцати дней с даты размещения решения заказчика об одностороннем отказе от исполнения контракта в единой информационной системе</w:t>
      </w:r>
      <w:proofErr w:type="gramEnd"/>
      <w:r>
        <w:rPr>
          <w:highlight w:val="white"/>
        </w:rPr>
        <w:t>.</w:t>
      </w:r>
    </w:p>
    <w:p w:rsidR="00284FE6" w:rsidRDefault="00F40C83">
      <w:pPr>
        <w:ind w:firstLine="540"/>
        <w:contextualSpacing/>
        <w:jc w:val="both"/>
      </w:pPr>
      <w:r>
        <w:t xml:space="preserve">Согласно </w:t>
      </w:r>
      <w:r>
        <w:rPr>
          <w:color w:val="0000FF"/>
        </w:rPr>
        <w:t>части 13 статьи 95</w:t>
      </w:r>
      <w:r>
        <w:t xml:space="preserve"> Закона решение заказчика об одностороннем отказе от исп</w:t>
      </w:r>
      <w:r>
        <w:t xml:space="preserve">олнения контракта вступает в силу и контракт считается расторгнутым через десять дней </w:t>
      </w:r>
      <w:proofErr w:type="gramStart"/>
      <w:r>
        <w:t>с даты</w:t>
      </w:r>
      <w:proofErr w:type="gramEnd"/>
      <w:r>
        <w:t xml:space="preserve"> надлежащего уведомления заказчиком поставщика (подрядчика, исполнителя) об одностороннем отказе от исполнения контракта.</w:t>
      </w:r>
    </w:p>
    <w:p w:rsidR="00284FE6" w:rsidRDefault="00F40C83">
      <w:pPr>
        <w:ind w:firstLine="540"/>
        <w:contextualSpacing/>
        <w:jc w:val="both"/>
      </w:pPr>
      <w:proofErr w:type="gramStart"/>
      <w:r>
        <w:t xml:space="preserve">В силу </w:t>
      </w:r>
      <w:r>
        <w:rPr>
          <w:color w:val="0000FF"/>
        </w:rPr>
        <w:t>части 14 статьи 95</w:t>
      </w:r>
      <w:r>
        <w:t xml:space="preserve"> Закона заказчик </w:t>
      </w:r>
      <w:r>
        <w:t>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поставщика (подрядчика, исполнителя) о принятом решении об одностороннем отказе от исполнения к</w:t>
      </w:r>
      <w:r>
        <w:t>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</w:t>
      </w:r>
      <w:proofErr w:type="gramEnd"/>
      <w:r>
        <w:t xml:space="preserve"> в соответствии с </w:t>
      </w:r>
      <w:r>
        <w:rPr>
          <w:color w:val="0000FF"/>
        </w:rPr>
        <w:t>частью 10 названной статьи</w:t>
      </w:r>
      <w:r>
        <w:t>.</w:t>
      </w:r>
    </w:p>
    <w:p w:rsidR="00284FE6" w:rsidRDefault="00F40C83">
      <w:pPr>
        <w:ind w:firstLine="540"/>
        <w:contextualSpacing/>
        <w:jc w:val="both"/>
      </w:pPr>
      <w:proofErr w:type="gramStart"/>
      <w:r>
        <w:t xml:space="preserve">Анализ положений </w:t>
      </w:r>
      <w:r>
        <w:rPr>
          <w:color w:val="0000FF"/>
        </w:rPr>
        <w:t>частей 12</w:t>
      </w:r>
      <w:r>
        <w:t xml:space="preserve">, </w:t>
      </w:r>
      <w:r>
        <w:rPr>
          <w:color w:val="0000FF"/>
        </w:rPr>
        <w:t>13</w:t>
      </w:r>
      <w:r>
        <w:t xml:space="preserve">, </w:t>
      </w:r>
      <w:r>
        <w:rPr>
          <w:color w:val="0000FF"/>
        </w:rPr>
        <w:t>14 статьи</w:t>
      </w:r>
      <w:r>
        <w:rPr>
          <w:color w:val="0000FF"/>
        </w:rPr>
        <w:t xml:space="preserve"> 95</w:t>
      </w:r>
      <w:r>
        <w:t xml:space="preserve"> Закона о контрактной системе позволяет сделать вывод и о том, что целью соблюдения указанных требований </w:t>
      </w:r>
      <w:r>
        <w:rPr>
          <w:color w:val="0000FF"/>
        </w:rPr>
        <w:t>Закона</w:t>
      </w:r>
      <w:r>
        <w:t xml:space="preserve"> является надлежащее уведомление лица (поставщика, подрядчика, исполнителя) об одностороннем отказе от исполнения контракта для обеспечения пр</w:t>
      </w:r>
      <w:r>
        <w:t>ава такого лица на устранение нарушения условий контракта, послужившего основанием для принятия указанного решения.</w:t>
      </w:r>
      <w:proofErr w:type="gramEnd"/>
    </w:p>
    <w:p w:rsidR="00284FE6" w:rsidRDefault="00F40C83">
      <w:pPr>
        <w:overflowPunct w:val="0"/>
        <w:ind w:firstLine="540"/>
        <w:contextualSpacing/>
        <w:jc w:val="both"/>
      </w:pPr>
      <w:r>
        <w:rPr>
          <w:rFonts w:eastAsia="Calibri"/>
          <w:color w:val="000000"/>
          <w:lang w:eastAsia="en-US"/>
        </w:rPr>
        <w:t xml:space="preserve">Нарушения порядка расторжения Контракта, предусмотренного положениями </w:t>
      </w:r>
      <w:r>
        <w:rPr>
          <w:rFonts w:eastAsia="Calibri"/>
          <w:color w:val="0000FF"/>
          <w:lang w:eastAsia="en-US"/>
        </w:rPr>
        <w:t>статьи 95</w:t>
      </w:r>
      <w:r>
        <w:rPr>
          <w:rFonts w:eastAsia="Calibri"/>
          <w:lang w:eastAsia="en-US"/>
        </w:rPr>
        <w:t xml:space="preserve"> Закона о контрактной системе, Комиссией антимонопольного орг</w:t>
      </w:r>
      <w:r>
        <w:rPr>
          <w:rFonts w:eastAsia="Calibri"/>
          <w:lang w:eastAsia="en-US"/>
        </w:rPr>
        <w:t>ана не установлено.</w:t>
      </w:r>
    </w:p>
    <w:p w:rsidR="00284FE6" w:rsidRDefault="00F40C83">
      <w:pPr>
        <w:jc w:val="both"/>
      </w:pPr>
      <w:r>
        <w:rPr>
          <w:rFonts w:eastAsia="Calibri"/>
          <w:lang w:eastAsia="en-US"/>
        </w:rPr>
        <w:tab/>
        <w:t>Согласно исследованных Комиссией сведений в ЕИС и представленных материалов,</w:t>
      </w:r>
      <w:r>
        <w:t xml:space="preserve"> решение Заказчика об одностороннем отказе от исполнения контракта вступило в </w:t>
      </w:r>
      <w:proofErr w:type="gramStart"/>
      <w:r>
        <w:t>силу</w:t>
      </w:r>
      <w:proofErr w:type="gramEnd"/>
      <w:r>
        <w:t xml:space="preserve"> и контракт считается расторгнутым 22 января 2021 года. </w:t>
      </w:r>
    </w:p>
    <w:p w:rsidR="00284FE6" w:rsidRDefault="00F40C83">
      <w:pPr>
        <w:jc w:val="both"/>
      </w:pPr>
      <w:r>
        <w:rPr>
          <w:rFonts w:eastAsia="Calibri"/>
          <w:lang w:eastAsia="en-US"/>
        </w:rPr>
        <w:tab/>
        <w:t>В силу части 16 ста</w:t>
      </w:r>
      <w:r>
        <w:rPr>
          <w:rFonts w:eastAsia="Calibri"/>
          <w:lang w:eastAsia="en-US"/>
        </w:rPr>
        <w:t xml:space="preserve">тьи 95 Федерального закона о контрактной системе информация о поставщике (подрядчике, исполнителе), с которым контракт </w:t>
      </w:r>
      <w:proofErr w:type="gramStart"/>
      <w:r>
        <w:rPr>
          <w:rFonts w:eastAsia="Calibri"/>
          <w:lang w:eastAsia="en-US"/>
        </w:rPr>
        <w:t>был</w:t>
      </w:r>
      <w:proofErr w:type="gramEnd"/>
      <w:r>
        <w:rPr>
          <w:rFonts w:eastAsia="Calibri"/>
          <w:lang w:eastAsia="en-US"/>
        </w:rPr>
        <w:t xml:space="preserve"> расторгнут в связи с односторонним отказом заказчика от исполнения контракта, включается в установленном настоящим Федеральным законо</w:t>
      </w:r>
      <w:r>
        <w:rPr>
          <w:rFonts w:eastAsia="Calibri"/>
          <w:lang w:eastAsia="en-US"/>
        </w:rPr>
        <w:t>м порядке в Реестр.</w:t>
      </w:r>
    </w:p>
    <w:p w:rsidR="00284FE6" w:rsidRDefault="00F40C83">
      <w:pPr>
        <w:ind w:firstLine="540"/>
        <w:contextualSpacing/>
        <w:jc w:val="both"/>
      </w:pPr>
      <w:r>
        <w:rPr>
          <w:color w:val="000000"/>
        </w:rPr>
        <w:t xml:space="preserve">В </w:t>
      </w:r>
      <w:r>
        <w:rPr>
          <w:color w:val="0000FF"/>
        </w:rPr>
        <w:t>статье 104</w:t>
      </w:r>
      <w:r>
        <w:t xml:space="preserve"> Закона N 44-ФЗ закреплен порядок ведения реестра недобросовестных поставщиков.</w:t>
      </w:r>
    </w:p>
    <w:p w:rsidR="00284FE6" w:rsidRDefault="00F40C83">
      <w:pPr>
        <w:ind w:firstLine="540"/>
        <w:contextualSpacing/>
        <w:jc w:val="both"/>
      </w:pPr>
      <w:r>
        <w:t xml:space="preserve">В реестр недобросовестных поставщиков включается информация об участниках закупок, уклонившихся от заключения контрактов, а также о поставщиках </w:t>
      </w:r>
      <w:r>
        <w:t>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(</w:t>
      </w:r>
      <w:r>
        <w:rPr>
          <w:color w:val="0000FF"/>
        </w:rPr>
        <w:t>часть 2 статьи 104</w:t>
      </w:r>
      <w:r>
        <w:t xml:space="preserve"> Закона).</w:t>
      </w:r>
    </w:p>
    <w:p w:rsidR="00284FE6" w:rsidRDefault="00F40C83">
      <w:pPr>
        <w:contextualSpacing/>
        <w:jc w:val="both"/>
      </w:pPr>
      <w:r>
        <w:tab/>
        <w:t xml:space="preserve">В соответствии с </w:t>
      </w:r>
      <w:r>
        <w:rPr>
          <w:color w:val="0000FF"/>
        </w:rPr>
        <w:t>часть</w:t>
      </w:r>
      <w:r>
        <w:rPr>
          <w:color w:val="0000FF"/>
        </w:rPr>
        <w:t>ю 10 статьи 104</w:t>
      </w:r>
      <w:r>
        <w:t xml:space="preserve"> Закона о контрактной системе, Постановлением Правительства  Российской Федерации от 25.11.2013 № 1062 утверждены Правила «О порядке ведения реестра  недобросовестных поставщиков (подрядчиков, исполнителей» (далее </w:t>
      </w:r>
      <w:proofErr w:type="gramStart"/>
      <w:r>
        <w:t>-П</w:t>
      </w:r>
      <w:proofErr w:type="gramEnd"/>
      <w:r>
        <w:t>равила №1062).</w:t>
      </w:r>
    </w:p>
    <w:p w:rsidR="00284FE6" w:rsidRDefault="00F40C83">
      <w:pPr>
        <w:contextualSpacing/>
        <w:jc w:val="both"/>
      </w:pPr>
      <w:r>
        <w:tab/>
        <w:t xml:space="preserve">Согласно </w:t>
      </w:r>
      <w:r>
        <w:t>пункту 11 Правил № 1062 уполномоченный орган осуществляет проверку предоставленных информации и документов, указанных  в пунктах 6-8 настоящих Правил, на наличие фактов, подтверждающих недобросовестность поставщика (подрядчика, исполнителя).</w:t>
      </w:r>
    </w:p>
    <w:p w:rsidR="00284FE6" w:rsidRDefault="00F40C83">
      <w:pPr>
        <w:contextualSpacing/>
        <w:jc w:val="both"/>
      </w:pPr>
      <w:r>
        <w:tab/>
      </w:r>
      <w:proofErr w:type="gramStart"/>
      <w:r>
        <w:t>Таким образом</w:t>
      </w:r>
      <w:r>
        <w:t xml:space="preserve">, размещение сведений об участнике размещения заказа в реестре недобросовестных поставщиков осуществляется лишь в случае, если антимонопольный орган в результате проведенной проверки установит факт уклонения участника </w:t>
      </w:r>
      <w:r>
        <w:lastRenderedPageBreak/>
        <w:t>размещения заказа от заключения контра</w:t>
      </w:r>
      <w:r>
        <w:t>кта, выявит обстоятельства, свидетельствующие о намерении участника размещения заказа отказаться от заключения контракта, о направленности его действий на несоблюдение условий контракта или уклонение от его исполнения.</w:t>
      </w:r>
      <w:proofErr w:type="gramEnd"/>
    </w:p>
    <w:p w:rsidR="00284FE6" w:rsidRDefault="00F40C83">
      <w:pPr>
        <w:ind w:firstLine="540"/>
        <w:contextualSpacing/>
        <w:jc w:val="both"/>
      </w:pPr>
      <w:r>
        <w:rPr>
          <w:color w:val="000000"/>
        </w:rPr>
        <w:t>В каждом конкретном случае антимонопо</w:t>
      </w:r>
      <w:r>
        <w:rPr>
          <w:color w:val="000000"/>
        </w:rPr>
        <w:t xml:space="preserve">льный орган должен решить вопрос о законности, справедливости и целесообразности соответствующей меры гражданско-правовой </w:t>
      </w:r>
      <w:proofErr w:type="gramStart"/>
      <w:r>
        <w:rPr>
          <w:color w:val="000000"/>
        </w:rPr>
        <w:t>ответственности</w:t>
      </w:r>
      <w:proofErr w:type="gramEnd"/>
      <w:r>
        <w:rPr>
          <w:color w:val="000000"/>
        </w:rPr>
        <w:t xml:space="preserve"> в отношении определенного нарушителя исходя из значимого комплекса обстоятельств, а равно баланса частных и публичных </w:t>
      </w:r>
      <w:r>
        <w:rPr>
          <w:color w:val="000000"/>
        </w:rPr>
        <w:t>прав (интересов).</w:t>
      </w:r>
    </w:p>
    <w:p w:rsidR="00284FE6" w:rsidRDefault="00F40C83">
      <w:pPr>
        <w:ind w:firstLine="540"/>
        <w:contextualSpacing/>
        <w:jc w:val="both"/>
      </w:pPr>
      <w:r>
        <w:t>При оценке материалов дела необходимо учитывать, что включение в реестр недобросовестных поставщиков является специальной мерой ответственности, установленной законодателем в целях обеспечения исполнения лицом принятых на себя в рамках пр</w:t>
      </w:r>
      <w:r>
        <w:t xml:space="preserve">оцедуры размещения государственного или муниципального заказа обязательств. При этом одним из последствий такого включения (в качестве санкции за допущенное нарушение) может являться ограничение прав такого лица на участие в течение установленного срока в </w:t>
      </w:r>
      <w:r>
        <w:t xml:space="preserve">соответствующих закупках. Вместе с тем реестр недобросовестных поставщиков служит инструментом, обеспечивающим реализацию целей регулирования отношений, определенных в </w:t>
      </w:r>
      <w:r>
        <w:rPr>
          <w:color w:val="0000FF"/>
        </w:rPr>
        <w:t>статье 1</w:t>
      </w:r>
      <w:r>
        <w:t xml:space="preserve"> Закона N 44-ФЗ, по добросовестной конкуренции и предотвращению злоупотреблений </w:t>
      </w:r>
      <w:r>
        <w:t xml:space="preserve">в сфере размещения заказов, </w:t>
      </w:r>
      <w:proofErr w:type="gramStart"/>
      <w:r>
        <w:t>а</w:t>
      </w:r>
      <w:proofErr w:type="gramEnd"/>
      <w:r>
        <w:t xml:space="preserve"> следовательно, защиту государственных и муниципальных заказчиков от недобросовестных действий поставщиков (исполнителей, подрядчиков). При этом такими действиями (бездействием) нарушаются права заказчика относительно условий (</w:t>
      </w:r>
      <w:r>
        <w:t>выявленных им как лучшие) и сроков исполнения контракта, исключается эффективность использования бюджетных средств, обеспечение публичных интересов в рамках соответствующих правоотношений. Участник аукциона, самостоятельно принявший решение об участии в ра</w:t>
      </w:r>
      <w:r>
        <w:t>змещении заказа и претендующий на заключение государственного (муниципального) контракта и его надлежащее исполнение, обязан учесть специфику заключения и исполнения контракта и соблюсти все предусмотренные для этого условия. В ином случае для него возника</w:t>
      </w:r>
      <w:r>
        <w:t>ет риск наступления соответствующих неблагоприятных последствий, в том числе риск принятия уполномоченным органом решения о включении его в реестр недобросовестных поставщиков.</w:t>
      </w:r>
    </w:p>
    <w:p w:rsidR="00284FE6" w:rsidRDefault="00F40C83">
      <w:pPr>
        <w:contextualSpacing/>
        <w:jc w:val="both"/>
      </w:pPr>
      <w:r>
        <w:tab/>
      </w:r>
      <w:proofErr w:type="gramStart"/>
      <w:r>
        <w:t xml:space="preserve">В судебных актах Конституционного Суда Российской Федерации (постановления от </w:t>
      </w:r>
      <w:r>
        <w:t xml:space="preserve">30.07.2001 </w:t>
      </w:r>
      <w:r>
        <w:rPr>
          <w:color w:val="0000FF"/>
        </w:rPr>
        <w:t>N 13-П</w:t>
      </w:r>
      <w:r>
        <w:t xml:space="preserve">, от 21.11.2002 </w:t>
      </w:r>
      <w:r>
        <w:rPr>
          <w:color w:val="0000FF"/>
        </w:rPr>
        <w:t>N 15-П</w:t>
      </w:r>
      <w:r>
        <w:t xml:space="preserve">, определения от 07.06.2001 </w:t>
      </w:r>
      <w:r>
        <w:rPr>
          <w:color w:val="0000FF"/>
        </w:rPr>
        <w:t>N 139-О</w:t>
      </w:r>
      <w:r>
        <w:t xml:space="preserve">, от 07.02.2002 </w:t>
      </w:r>
      <w:r>
        <w:rPr>
          <w:color w:val="0000FF"/>
        </w:rPr>
        <w:t>N 16-О</w:t>
      </w:r>
      <w:r>
        <w:t xml:space="preserve">) отражено, что применяемые государственными органами санкции должны отвечать требованиям </w:t>
      </w:r>
      <w:r>
        <w:rPr>
          <w:color w:val="0000FF"/>
        </w:rPr>
        <w:t>Конституции</w:t>
      </w:r>
      <w:r>
        <w:t xml:space="preserve"> Российской Федерации, соответствовать принципу юридическог</w:t>
      </w:r>
      <w:r>
        <w:t>о равенства, быть соразмерными конституционно защищаемым целям и ценностям, исключать возможность их произвольного истолкования и применения.</w:t>
      </w:r>
      <w:proofErr w:type="gramEnd"/>
    </w:p>
    <w:p w:rsidR="00284FE6" w:rsidRDefault="00F40C83">
      <w:pPr>
        <w:contextualSpacing/>
        <w:jc w:val="both"/>
      </w:pPr>
      <w:r>
        <w:tab/>
        <w:t xml:space="preserve">По смыслу </w:t>
      </w:r>
      <w:r>
        <w:rPr>
          <w:color w:val="0000FF"/>
        </w:rPr>
        <w:t>статьи 55</w:t>
      </w:r>
      <w:r>
        <w:t xml:space="preserve"> Конституции Российской Федерации введение ответственности за правонарушение и установление ко</w:t>
      </w:r>
      <w:r>
        <w:t>нкретной санкции, ограничивающей конституционное право, исходя из общих принципов права, должно отвечать требованиям справедливости, быть соразмерным конституционно закрепляемым целям и охраняемым законным интересам, а также характеру совершенного деяния.</w:t>
      </w:r>
    </w:p>
    <w:p w:rsidR="00284FE6" w:rsidRDefault="00F40C83">
      <w:pPr>
        <w:ind w:firstLine="540"/>
        <w:contextualSpacing/>
        <w:jc w:val="both"/>
      </w:pPr>
      <w:r>
        <w:rPr>
          <w:rFonts w:eastAsia="Calibri"/>
          <w:lang w:eastAsia="en-US"/>
        </w:rPr>
        <w:t>Проанализировав взаимоотношения сторон в рамках заключенного и исполняемого контракта, Комиссия Ненецкого УФАС России не усматривает в действиях Общества поведения, направленного на умышленное неисполнение контракта.</w:t>
      </w:r>
    </w:p>
    <w:p w:rsidR="00284FE6" w:rsidRDefault="00F40C83">
      <w:pPr>
        <w:jc w:val="both"/>
      </w:pPr>
      <w:r>
        <w:tab/>
        <w:t>После подписания муниципального контра</w:t>
      </w:r>
      <w:r>
        <w:t xml:space="preserve">кта </w:t>
      </w:r>
      <w:r>
        <w:rPr>
          <w:color w:val="000000"/>
        </w:rPr>
        <w:t>№ 0184300000418000185-0291177-01 от 01.02.2019 г. Заказчик направил Исполнителю ранее разработанную проектную документацию. По оценке Исполнителя, проект был в неудовлетворительном состоянии и требовал значительной доработки с учетом новых норм и пожел</w:t>
      </w:r>
      <w:r>
        <w:rPr>
          <w:color w:val="000000"/>
        </w:rPr>
        <w:t xml:space="preserve">аний Заказчика, не предусмотренных в ранее разработанном проекте. Корректировка проектной документации объекта «Ферма на 50 голов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Ома» выполнялась с постоянным взаимодействием с Заказчиком. В результате проведенной работы проектно-сметная </w:t>
      </w:r>
      <w:r>
        <w:rPr>
          <w:color w:val="000000"/>
        </w:rPr>
        <w:lastRenderedPageBreak/>
        <w:t>документация</w:t>
      </w:r>
      <w:r>
        <w:rPr>
          <w:color w:val="000000"/>
        </w:rPr>
        <w:t xml:space="preserve"> была выполнена, все разделы были полностью переработаны и направлены Заказчику на согласование 11.06.2020.</w:t>
      </w:r>
    </w:p>
    <w:p w:rsidR="00284FE6" w:rsidRDefault="00F40C83">
      <w:pPr>
        <w:jc w:val="both"/>
      </w:pPr>
      <w:r>
        <w:rPr>
          <w:color w:val="000000"/>
        </w:rPr>
        <w:tab/>
        <w:t>15.06.2020 Заказчиком согласована проектная документация, что подтверждается письменным ответом МКУ ЗР «Северное» за №01-20-67/20-3-1. В дальнейшем</w:t>
      </w:r>
      <w:r>
        <w:rPr>
          <w:color w:val="000000"/>
        </w:rPr>
        <w:t xml:space="preserve"> замечаний по откорректированной проектной документации от Заказчика не поступало.</w:t>
      </w:r>
    </w:p>
    <w:p w:rsidR="00284FE6" w:rsidRDefault="00F40C83">
      <w:pPr>
        <w:jc w:val="both"/>
      </w:pPr>
      <w:r>
        <w:rPr>
          <w:color w:val="000000"/>
        </w:rPr>
        <w:tab/>
        <w:t xml:space="preserve">В процессе проведения государственной экспертизы, в рамках заключенного договора № 017-20 от 04.09.2020 г. об оказании услуг по проведению государственной экспертизы между </w:t>
      </w:r>
      <w:r>
        <w:rPr>
          <w:color w:val="000000"/>
        </w:rPr>
        <w:t>ООО «</w:t>
      </w:r>
      <w:proofErr w:type="spellStart"/>
      <w:r>
        <w:rPr>
          <w:color w:val="000000"/>
        </w:rPr>
        <w:t>ДаВинчи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Компани</w:t>
      </w:r>
      <w:proofErr w:type="spellEnd"/>
      <w:r>
        <w:rPr>
          <w:color w:val="000000"/>
        </w:rPr>
        <w:t>» и</w:t>
      </w:r>
      <w:proofErr w:type="gramEnd"/>
      <w:r>
        <w:rPr>
          <w:color w:val="000000"/>
        </w:rPr>
        <w:t xml:space="preserve"> Департаментом внутреннего контроля и надзора Ненецкого автономного округа, Департаментом  ВКН НАО выявлены замечания, которые не позволили сделать вывод о </w:t>
      </w:r>
      <w:proofErr w:type="spellStart"/>
      <w:r>
        <w:rPr>
          <w:color w:val="000000"/>
        </w:rPr>
        <w:t>соответствиии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несооотвествии</w:t>
      </w:r>
      <w:proofErr w:type="spellEnd"/>
      <w:r>
        <w:rPr>
          <w:color w:val="000000"/>
        </w:rPr>
        <w:t xml:space="preserve"> проектной документации требованиям технических р</w:t>
      </w:r>
      <w:r>
        <w:rPr>
          <w:color w:val="000000"/>
        </w:rPr>
        <w:t>егламентов. Департаментом предложено Обществу устранить замечания в срок до 18.09.2020г, что подтверждается письмом №2592 от 16.09.2020.</w:t>
      </w:r>
    </w:p>
    <w:p w:rsidR="00284FE6" w:rsidRDefault="00F40C83">
      <w:pPr>
        <w:jc w:val="both"/>
      </w:pPr>
      <w:r>
        <w:rPr>
          <w:color w:val="000000"/>
        </w:rPr>
        <w:tab/>
        <w:t>28.10.2020г Департамент ВКН НАО вновь направил замечания Исполнителю, выявленные в ходе проведения государственной экс</w:t>
      </w:r>
      <w:r>
        <w:rPr>
          <w:color w:val="000000"/>
        </w:rPr>
        <w:t xml:space="preserve">пертизы проектной документации. Департамент обратил внимание на то, что предложена к </w:t>
      </w:r>
      <w:proofErr w:type="spellStart"/>
      <w:r>
        <w:rPr>
          <w:color w:val="000000"/>
        </w:rPr>
        <w:t>рассматрению</w:t>
      </w:r>
      <w:proofErr w:type="spellEnd"/>
      <w:r>
        <w:rPr>
          <w:color w:val="000000"/>
        </w:rPr>
        <w:t xml:space="preserve"> проектная документация с двумя вариантами планировок, т.е. часть разделов выполнена с одной планировкой, другая с другой отличной от первой. Также было отмече</w:t>
      </w:r>
      <w:r>
        <w:rPr>
          <w:color w:val="000000"/>
        </w:rPr>
        <w:t xml:space="preserve">но, что объект «Ферма на 50 голов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Ома» является объектом незавершенного строительства, по которому было выполнено обследование, выдано положительное заключение ГЭ от 23.05.2019 № 83-1-1-1-012031-2019 (здание существующее, выполнены ограждающие констру</w:t>
      </w:r>
      <w:r>
        <w:rPr>
          <w:color w:val="000000"/>
        </w:rPr>
        <w:t xml:space="preserve">кции, частично залиты полы), но в представленной Исполнителем проектной документации это не учитывалось. </w:t>
      </w:r>
    </w:p>
    <w:p w:rsidR="00284FE6" w:rsidRDefault="00F40C83">
      <w:pPr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Из замечаний </w:t>
      </w:r>
      <w:proofErr w:type="spellStart"/>
      <w:r>
        <w:rPr>
          <w:color w:val="000000"/>
        </w:rPr>
        <w:t>Департамета</w:t>
      </w:r>
      <w:proofErr w:type="spellEnd"/>
      <w:r>
        <w:rPr>
          <w:color w:val="000000"/>
        </w:rPr>
        <w:t xml:space="preserve"> следовало, что ООО «</w:t>
      </w:r>
      <w:proofErr w:type="spellStart"/>
      <w:r>
        <w:rPr>
          <w:color w:val="000000"/>
        </w:rPr>
        <w:t>ДаВинчи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</w:t>
      </w:r>
      <w:proofErr w:type="spellEnd"/>
      <w:r>
        <w:rPr>
          <w:color w:val="000000"/>
        </w:rPr>
        <w:t>» необходимо заново предоставить откорректированную проектную документацию, все разделы и</w:t>
      </w:r>
      <w:r>
        <w:rPr>
          <w:color w:val="000000"/>
        </w:rPr>
        <w:t xml:space="preserve"> подразделы проектной документации должны быть приведены к единому проектному решению, корректировке подлежит документация, прошедшая государственную экспертизу и имеющая положительное заключение от 20.10.2010 № 29-1-5-0154-10, так как предоставленная доку</w:t>
      </w:r>
      <w:r>
        <w:rPr>
          <w:color w:val="000000"/>
        </w:rPr>
        <w:t>ментация не была откорректирована по замечаниям первичной экспертизы.</w:t>
      </w:r>
      <w:proofErr w:type="gramEnd"/>
      <w:r>
        <w:rPr>
          <w:color w:val="000000"/>
        </w:rPr>
        <w:t xml:space="preserve"> Срок устранения замечаний до 18.11.2020 г.</w:t>
      </w:r>
    </w:p>
    <w:p w:rsidR="00284FE6" w:rsidRDefault="00F40C83">
      <w:pPr>
        <w:jc w:val="both"/>
      </w:pPr>
      <w:r>
        <w:rPr>
          <w:color w:val="000000"/>
        </w:rPr>
        <w:tab/>
        <w:t>Комиссия антимонопольного органа считает необходимым отметить, что основным замечанием явилось то, что документация оформлена не в виде коррек</w:t>
      </w:r>
      <w:r>
        <w:rPr>
          <w:color w:val="000000"/>
        </w:rPr>
        <w:t>тировки, а как новый проект, соответственно проверить документацию на факт корректировки не представляется возможным.</w:t>
      </w:r>
    </w:p>
    <w:p w:rsidR="00284FE6" w:rsidRDefault="00F40C83">
      <w:pPr>
        <w:jc w:val="both"/>
        <w:rPr>
          <w:color w:val="000000"/>
        </w:rPr>
      </w:pPr>
      <w:r>
        <w:rPr>
          <w:color w:val="000000"/>
        </w:rPr>
        <w:tab/>
        <w:t xml:space="preserve"> 02.12.2020 г. Департамент ВКН НАО выдал отрицательное </w:t>
      </w:r>
      <w:proofErr w:type="gramStart"/>
      <w:r>
        <w:rPr>
          <w:color w:val="000000"/>
        </w:rPr>
        <w:t>заключение</w:t>
      </w:r>
      <w:proofErr w:type="gramEnd"/>
      <w:r>
        <w:rPr>
          <w:color w:val="000000"/>
        </w:rPr>
        <w:t xml:space="preserve"> и проект был отправлен на доработку. </w:t>
      </w:r>
    </w:p>
    <w:p w:rsidR="00284FE6" w:rsidRDefault="00F40C83">
      <w:pPr>
        <w:jc w:val="both"/>
      </w:pPr>
      <w:r>
        <w:rPr>
          <w:color w:val="000000"/>
        </w:rPr>
        <w:tab/>
      </w:r>
      <w:r>
        <w:rPr>
          <w:color w:val="000000"/>
        </w:rPr>
        <w:t xml:space="preserve">Из материалов </w:t>
      </w:r>
      <w:proofErr w:type="spellStart"/>
      <w:r>
        <w:rPr>
          <w:color w:val="000000"/>
        </w:rPr>
        <w:t>рассматривааемого</w:t>
      </w:r>
      <w:proofErr w:type="spellEnd"/>
      <w:r>
        <w:rPr>
          <w:color w:val="000000"/>
        </w:rPr>
        <w:t xml:space="preserve"> дела следует и Комиссия Ненецкого УФАС России полагает заслуживающими внимания о согласовании проектной документации объекта «Ферма на 50 голов в с. Ома» Заказчиком, соответственно качество и объем выполненного </w:t>
      </w:r>
      <w:proofErr w:type="gramStart"/>
      <w:r>
        <w:rPr>
          <w:color w:val="000000"/>
        </w:rPr>
        <w:t>проекта</w:t>
      </w:r>
      <w:proofErr w:type="gramEnd"/>
      <w:r>
        <w:rPr>
          <w:color w:val="000000"/>
        </w:rPr>
        <w:t xml:space="preserve"> прежд</w:t>
      </w:r>
      <w:r>
        <w:rPr>
          <w:color w:val="000000"/>
        </w:rPr>
        <w:t>е всего удовлетворили потребности МКУ «Северное».</w:t>
      </w:r>
    </w:p>
    <w:p w:rsidR="00284FE6" w:rsidRDefault="00F40C83">
      <w:pPr>
        <w:jc w:val="both"/>
      </w:pPr>
      <w:r>
        <w:tab/>
        <w:t xml:space="preserve">В обращении МКУ «Северное» также предоставлены сведения о том, что 03.08.2020 Заказчик уже принимал решение об одностороннем отказе от исполнения муниципального контракта </w:t>
      </w:r>
      <w:r>
        <w:rPr>
          <w:color w:val="000000"/>
        </w:rPr>
        <w:t>№ 0184300000418000185-0291177-01 о</w:t>
      </w:r>
      <w:r>
        <w:rPr>
          <w:color w:val="000000"/>
        </w:rPr>
        <w:t>т 01.02.2019 г. на оказание услуг по корректировке проект</w:t>
      </w:r>
      <w:r>
        <w:rPr>
          <w:color w:val="000000"/>
        </w:rPr>
        <w:t xml:space="preserve">ной документации объекта «Ферма на 50 голов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Ома». Во исполнение требований части 14 статьи 95 Закона о контрактной системе Заказчиком </w:t>
      </w:r>
      <w:r>
        <w:rPr>
          <w:rFonts w:eastAsia="Calibri"/>
          <w:lang w:eastAsia="en-US"/>
        </w:rPr>
        <w:t>отменено не вступившее в силу решение об одностороннем отказ</w:t>
      </w:r>
      <w:r>
        <w:rPr>
          <w:rFonts w:eastAsia="Calibri"/>
          <w:lang w:eastAsia="en-US"/>
        </w:rPr>
        <w:t xml:space="preserve">е от исполнения контракта, поскольку замечания Заказчика Исполнителем устранены. </w:t>
      </w:r>
      <w:r>
        <w:tab/>
      </w:r>
    </w:p>
    <w:p w:rsidR="00284FE6" w:rsidRDefault="00F40C83">
      <w:pPr>
        <w:ind w:firstLine="540"/>
        <w:contextualSpacing/>
        <w:jc w:val="both"/>
      </w:pPr>
      <w:proofErr w:type="gramStart"/>
      <w:r>
        <w:rPr>
          <w:rFonts w:eastAsia="Calibri"/>
          <w:bCs/>
          <w:color w:val="000000"/>
          <w:lang w:eastAsia="en-US"/>
        </w:rPr>
        <w:t>Из обращения Заказчика следует, что основанием для повторного п</w:t>
      </w:r>
      <w:r>
        <w:rPr>
          <w:rFonts w:eastAsia="Calibri"/>
          <w:color w:val="000000"/>
          <w:lang w:eastAsia="en-US"/>
        </w:rPr>
        <w:t>ринятия Решения об одностороннем отказе от исполнения контракта от 15.12.2020 г. послужило то, что ООО «</w:t>
      </w:r>
      <w:proofErr w:type="spellStart"/>
      <w:r>
        <w:rPr>
          <w:rFonts w:eastAsia="Calibri"/>
          <w:color w:val="000000"/>
          <w:lang w:eastAsia="en-US"/>
        </w:rPr>
        <w:t>ДаВинч</w:t>
      </w:r>
      <w:r>
        <w:rPr>
          <w:rFonts w:eastAsia="Calibri"/>
          <w:color w:val="000000"/>
          <w:lang w:eastAsia="en-US"/>
        </w:rPr>
        <w:t>и</w:t>
      </w:r>
      <w:proofErr w:type="spellEnd"/>
      <w:r>
        <w:rPr>
          <w:rFonts w:eastAsia="Calibri"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lang w:eastAsia="en-US"/>
        </w:rPr>
        <w:t>Компани</w:t>
      </w:r>
      <w:proofErr w:type="spellEnd"/>
      <w:r>
        <w:rPr>
          <w:rFonts w:eastAsia="Calibri"/>
          <w:color w:val="000000"/>
          <w:lang w:eastAsia="en-US"/>
        </w:rPr>
        <w:t xml:space="preserve">» по состоянию на 15.12.2020 г. </w:t>
      </w:r>
      <w:bookmarkStart w:id="1" w:name="__DdeLink__919_81903839812"/>
      <w:r>
        <w:rPr>
          <w:rFonts w:eastAsia="Calibri"/>
          <w:color w:val="000000"/>
          <w:lang w:eastAsia="en-US"/>
        </w:rPr>
        <w:t>не получило от Д</w:t>
      </w:r>
      <w:bookmarkEnd w:id="1"/>
      <w:r>
        <w:rPr>
          <w:rFonts w:eastAsia="Calibri"/>
          <w:color w:val="000000"/>
          <w:lang w:eastAsia="en-US"/>
        </w:rPr>
        <w:t xml:space="preserve">епартамента ВКН НАО положительного заключения государственной экспертизы проектной документации объекта «Ферма на 50 голов в с. Ома», в связи с несоответствием проектной </w:t>
      </w:r>
      <w:r>
        <w:rPr>
          <w:rFonts w:eastAsia="Calibri"/>
          <w:color w:val="000000"/>
          <w:lang w:eastAsia="en-US"/>
        </w:rPr>
        <w:lastRenderedPageBreak/>
        <w:t>документации требованиям техн</w:t>
      </w:r>
      <w:r>
        <w:rPr>
          <w:rFonts w:eastAsia="Calibri"/>
          <w:color w:val="000000"/>
          <w:lang w:eastAsia="en-US"/>
        </w:rPr>
        <w:t>ических регламентов.</w:t>
      </w:r>
      <w:proofErr w:type="gramEnd"/>
      <w:r>
        <w:rPr>
          <w:rFonts w:eastAsia="Calibri"/>
          <w:color w:val="000000"/>
          <w:lang w:eastAsia="en-US"/>
        </w:rPr>
        <w:t xml:space="preserve"> Таким образом, Исполнителем </w:t>
      </w:r>
      <w:r>
        <w:rPr>
          <w:rFonts w:eastAsia="Calibri"/>
          <w:bCs/>
          <w:highlight w:val="white"/>
          <w:lang w:eastAsia="en-US"/>
        </w:rPr>
        <w:t>результат работ Заказчику не передан.</w:t>
      </w:r>
    </w:p>
    <w:p w:rsidR="00284FE6" w:rsidRDefault="00F40C83">
      <w:pPr>
        <w:ind w:left="40" w:right="40" w:firstLine="540"/>
        <w:jc w:val="both"/>
      </w:pPr>
      <w:r>
        <w:t xml:space="preserve">Комиссия отмечает, что при рассмотрении вопроса о включении лица в реестр недобросовестных поставщиков нельзя ограничиться только формальной констатацией ненадлежащего </w:t>
      </w:r>
      <w:r>
        <w:t>исполнения хозяйствующим субъектом тех или иных нормативных требований без выяснения и оценки всех фактических обстоятельств дела в совокупности и взаимосвязи.</w:t>
      </w:r>
    </w:p>
    <w:p w:rsidR="00284FE6" w:rsidRDefault="00F40C83">
      <w:pPr>
        <w:contextualSpacing/>
        <w:jc w:val="both"/>
      </w:pPr>
      <w:r>
        <w:tab/>
      </w:r>
      <w:proofErr w:type="gramStart"/>
      <w:r>
        <w:t xml:space="preserve">С учетом изложенных оснований, а в данном случае, исходя из характера допущенного Исполнителем </w:t>
      </w:r>
      <w:r>
        <w:t>нарушения исполнения условий Контракта, а также учитывая наличие в законодательстве о контрактной системе специальной меры ответственности в виде включения в реестр недобросовестных поставщиков, принятых на себя в рамках процедуры проведения закупки обязат</w:t>
      </w:r>
      <w:r>
        <w:t xml:space="preserve">ельств, не позволяют Комиссии  антимонопольного органа применения данной меры ответственности в отношении ООО </w:t>
      </w:r>
      <w:bookmarkStart w:id="2" w:name="__DdeLink__253_1754280416"/>
      <w:r>
        <w:t>«</w:t>
      </w:r>
      <w:proofErr w:type="spellStart"/>
      <w:r>
        <w:t>ДаВинчи</w:t>
      </w:r>
      <w:proofErr w:type="spellEnd"/>
      <w:r>
        <w:t xml:space="preserve"> </w:t>
      </w:r>
      <w:proofErr w:type="spellStart"/>
      <w:r>
        <w:t>Компани</w:t>
      </w:r>
      <w:proofErr w:type="spellEnd"/>
      <w:r>
        <w:t>»,</w:t>
      </w:r>
      <w:bookmarkEnd w:id="2"/>
      <w:r>
        <w:t xml:space="preserve"> поскольку</w:t>
      </w:r>
      <w:proofErr w:type="gramEnd"/>
      <w:r>
        <w:t xml:space="preserve"> доказательств намеренного неисполнения Обществом условий Контракта Заказчиком в материалах рассматриваемого дела не п</w:t>
      </w:r>
      <w:r>
        <w:t>редставлено.</w:t>
      </w:r>
    </w:p>
    <w:p w:rsidR="00284FE6" w:rsidRDefault="00F40C83">
      <w:pPr>
        <w:ind w:left="40" w:right="40" w:firstLine="540"/>
        <w:jc w:val="both"/>
      </w:pPr>
      <w:r>
        <w:t xml:space="preserve">При этом ни Закон о контрактной системе, ни Правила ведения </w:t>
      </w:r>
      <w:r>
        <w:t xml:space="preserve">реестра недобросовестных поставщиков (подрядчиков, исполнителей) не содержат безусловной </w:t>
      </w:r>
      <w:r>
        <w:t>обязанности уполномоченного органа включать представленные заказчиком сведения о поставщике (п</w:t>
      </w:r>
      <w:r>
        <w:t>одрядчике, исполнителе) в соответствующий реестр без оценки его действий в каждом конкретном случае.</w:t>
      </w:r>
    </w:p>
    <w:p w:rsidR="00284FE6" w:rsidRDefault="00F40C83">
      <w:pPr>
        <w:ind w:left="40" w:right="40" w:firstLine="540"/>
        <w:jc w:val="both"/>
      </w:pPr>
      <w:r>
        <w:rPr>
          <w:color w:val="000000"/>
        </w:rPr>
        <w:t>Комиссия Ненецкого УФАС России, в силу своей компетенции проверив действия Заказчика и Общества на предмет соблюдения процедуры расторжения контракта, пред</w:t>
      </w:r>
      <w:r>
        <w:rPr>
          <w:color w:val="000000"/>
        </w:rPr>
        <w:t>усмотренной Законом о контрактной системе, в данном случае не уполномочена давать правовую оценку действиям сторон при исполнении контракта с позиции применения гражданского законодательства и подменять при этом компетенцию суда.</w:t>
      </w:r>
    </w:p>
    <w:p w:rsidR="00284FE6" w:rsidRDefault="00F40C83">
      <w:pPr>
        <w:ind w:left="40" w:right="40" w:firstLine="540"/>
        <w:jc w:val="both"/>
      </w:pPr>
      <w:r>
        <w:rPr>
          <w:color w:val="000000"/>
        </w:rPr>
        <w:t>Поскольк</w:t>
      </w:r>
      <w:proofErr w:type="gramStart"/>
      <w:r>
        <w:rPr>
          <w:color w:val="000000"/>
        </w:rPr>
        <w:t>у ООО</w:t>
      </w:r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ДаВинчи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</w:t>
      </w:r>
      <w:r>
        <w:rPr>
          <w:color w:val="000000"/>
        </w:rPr>
        <w:t>пани</w:t>
      </w:r>
      <w:proofErr w:type="spellEnd"/>
      <w:r>
        <w:rPr>
          <w:color w:val="000000"/>
        </w:rPr>
        <w:t>», совершало действия, направленные на исполнение обязательств по контракту и признаки его умышленного недобросовестного поведения не доказаны, сведения в отношении ООО «</w:t>
      </w:r>
      <w:proofErr w:type="spellStart"/>
      <w:r>
        <w:rPr>
          <w:color w:val="000000"/>
        </w:rPr>
        <w:t>ДаВинчи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</w:t>
      </w:r>
      <w:proofErr w:type="spellEnd"/>
      <w:r>
        <w:rPr>
          <w:color w:val="000000"/>
        </w:rPr>
        <w:t>», включению в реестр недобросовестных поставщиков не подлежат.</w:t>
      </w:r>
    </w:p>
    <w:p w:rsidR="00284FE6" w:rsidRDefault="00F40C83">
      <w:pPr>
        <w:contextualSpacing/>
        <w:jc w:val="both"/>
      </w:pPr>
      <w:r>
        <w:tab/>
        <w:t xml:space="preserve">В </w:t>
      </w:r>
      <w:r>
        <w:t>силу изложенных оснований Комиссия, руководствуясь статьей 99, статьей 104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</w:t>
      </w:r>
      <w:r>
        <w:t>ьства Российской Федерации от 25.11.2013 № 1062 «О порядке ведения реестра недобросовестных поставщиков (подрядчиков, исполнителей)»,</w:t>
      </w:r>
    </w:p>
    <w:p w:rsidR="00284FE6" w:rsidRDefault="00284FE6">
      <w:pPr>
        <w:contextualSpacing/>
        <w:jc w:val="both"/>
        <w:rPr>
          <w:highlight w:val="yellow"/>
        </w:rPr>
      </w:pPr>
    </w:p>
    <w:p w:rsidR="00284FE6" w:rsidRDefault="00284FE6">
      <w:pPr>
        <w:sectPr w:rsidR="00284FE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284FE6" w:rsidRDefault="00284FE6">
      <w:pPr>
        <w:jc w:val="center"/>
      </w:pPr>
    </w:p>
    <w:p w:rsidR="00284FE6" w:rsidRDefault="00F40C83">
      <w:pPr>
        <w:jc w:val="center"/>
      </w:pPr>
      <w:r>
        <w:t>РЕШИЛА:</w:t>
      </w:r>
    </w:p>
    <w:p w:rsidR="00284FE6" w:rsidRDefault="00F40C83">
      <w:pPr>
        <w:jc w:val="both"/>
      </w:pPr>
      <w:r>
        <w:tab/>
      </w:r>
      <w:proofErr w:type="gramStart"/>
      <w:r>
        <w:t>Сведения об Обществе с ограниченной ответственностью «</w:t>
      </w:r>
      <w:proofErr w:type="spellStart"/>
      <w:r>
        <w:t>ДаВинчи</w:t>
      </w:r>
      <w:proofErr w:type="spellEnd"/>
      <w:r>
        <w:t xml:space="preserve"> </w:t>
      </w:r>
      <w:proofErr w:type="spellStart"/>
      <w:r>
        <w:t>Компани</w:t>
      </w:r>
      <w:proofErr w:type="spellEnd"/>
      <w:r>
        <w:t>»</w:t>
      </w:r>
      <w:bookmarkStart w:id="3" w:name="__DdeLink__698_14481995931"/>
      <w:r>
        <w:t xml:space="preserve"> (ОГРН: 1137746470377, И</w:t>
      </w:r>
      <w:r>
        <w:t>НН: 772384368808)</w:t>
      </w:r>
      <w:bookmarkEnd w:id="3"/>
      <w:r>
        <w:t xml:space="preserve">, представленные муниципальным казенным учреждением </w:t>
      </w:r>
      <w:r>
        <w:rPr>
          <w:color w:val="000000"/>
        </w:rPr>
        <w:t>Заполярного района «Северное» в связи с односторонним отказом Заказчика от исполнения контракта на оказание услуг по корректировке проектной документации объекта «Ферма на 50 голов в с. О</w:t>
      </w:r>
      <w:r>
        <w:rPr>
          <w:color w:val="000000"/>
        </w:rPr>
        <w:t xml:space="preserve">ма» (извещение № 0184300000418000185), в Реестр недобросовестных поставщиков (подрядчиков, исполнителей) не включать. </w:t>
      </w:r>
      <w:proofErr w:type="gramEnd"/>
    </w:p>
    <w:p w:rsidR="00284FE6" w:rsidRDefault="00F40C83">
      <w:pPr>
        <w:jc w:val="both"/>
        <w:rPr>
          <w:highlight w:val="white"/>
        </w:rPr>
      </w:pPr>
      <w:r>
        <w:rPr>
          <w:color w:val="000000"/>
          <w:highlight w:val="white"/>
        </w:rPr>
        <w:t xml:space="preserve">   </w:t>
      </w:r>
    </w:p>
    <w:p w:rsidR="00284FE6" w:rsidRDefault="00F40C83">
      <w:pPr>
        <w:jc w:val="both"/>
        <w:rPr>
          <w:highlight w:val="white"/>
        </w:rPr>
      </w:pPr>
      <w:r>
        <w:rPr>
          <w:rFonts w:ascii="Times New Roman CYR" w:hAnsi="Times New Roman CYR"/>
          <w:i/>
          <w:iCs/>
          <w:color w:val="000000"/>
          <w:highlight w:val="white"/>
        </w:rPr>
        <w:tab/>
        <w:t xml:space="preserve">Настоящее </w:t>
      </w:r>
      <w:r>
        <w:rPr>
          <w:rFonts w:ascii="Times New Roman CYR" w:hAnsi="Times New Roman CYR"/>
          <w:i/>
          <w:color w:val="000000"/>
          <w:highlight w:val="white"/>
        </w:rPr>
        <w:t>решение может быть обжаловано в течение трех месяцев со дня оглашения резолютивной части решения.</w:t>
      </w:r>
    </w:p>
    <w:p w:rsidR="00284FE6" w:rsidRDefault="00F40C83">
      <w:pPr>
        <w:ind w:firstLine="540"/>
        <w:contextualSpacing/>
        <w:jc w:val="both"/>
        <w:rPr>
          <w:highlight w:val="white"/>
        </w:rPr>
      </w:pPr>
      <w:r>
        <w:rPr>
          <w:i/>
          <w:iCs/>
          <w:highlight w:val="white"/>
        </w:rPr>
        <w:tab/>
      </w:r>
    </w:p>
    <w:p w:rsidR="00284FE6" w:rsidRDefault="00284FE6">
      <w:pPr>
        <w:ind w:firstLine="540"/>
        <w:contextualSpacing/>
        <w:jc w:val="both"/>
        <w:rPr>
          <w:i/>
          <w:iCs/>
          <w:highlight w:val="yellow"/>
        </w:rPr>
      </w:pPr>
    </w:p>
    <w:p w:rsidR="00284FE6" w:rsidRDefault="00F40C83">
      <w:pPr>
        <w:contextualSpacing/>
        <w:jc w:val="both"/>
      </w:pPr>
      <w:r>
        <w:t xml:space="preserve">Председатель:        </w:t>
      </w:r>
      <w:r>
        <w:t xml:space="preserve">                                                                               </w:t>
      </w:r>
    </w:p>
    <w:p w:rsidR="00284FE6" w:rsidRDefault="00284FE6">
      <w:pPr>
        <w:contextualSpacing/>
        <w:jc w:val="both"/>
      </w:pPr>
    </w:p>
    <w:p w:rsidR="00284FE6" w:rsidRDefault="00F40C83">
      <w:pPr>
        <w:jc w:val="both"/>
      </w:pPr>
      <w:r>
        <w:t xml:space="preserve">Члены Комиссии:                                                                                 </w:t>
      </w:r>
    </w:p>
    <w:p w:rsidR="00284FE6" w:rsidRDefault="00284FE6">
      <w:pPr>
        <w:jc w:val="both"/>
      </w:pPr>
    </w:p>
    <w:p w:rsidR="00284FE6" w:rsidRDefault="00F40C83">
      <w:pPr>
        <w:jc w:val="both"/>
      </w:pPr>
      <w:r>
        <w:lastRenderedPageBreak/>
        <w:t xml:space="preserve">                                                                                                              </w:t>
      </w:r>
    </w:p>
    <w:p w:rsidR="00284FE6" w:rsidRDefault="00284FE6">
      <w:pPr>
        <w:ind w:firstLine="540"/>
        <w:contextualSpacing/>
        <w:jc w:val="both"/>
      </w:pPr>
    </w:p>
    <w:p w:rsidR="00284FE6" w:rsidRDefault="00284FE6">
      <w:pPr>
        <w:ind w:firstLine="540"/>
        <w:contextualSpacing/>
        <w:jc w:val="both"/>
      </w:pPr>
    </w:p>
    <w:p w:rsidR="00284FE6" w:rsidRDefault="00F40C83">
      <w:pPr>
        <w:jc w:val="both"/>
      </w:pPr>
      <w:r>
        <w:t xml:space="preserve">                           </w:t>
      </w:r>
    </w:p>
    <w:p w:rsidR="00284FE6" w:rsidRDefault="00284FE6">
      <w:pPr>
        <w:sectPr w:rsidR="00284FE6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000000" w:rsidRDefault="00F40C83"/>
    <w:sectPr w:rsidR="00000000" w:rsidSect="00284FE6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3058"/>
    <w:multiLevelType w:val="multilevel"/>
    <w:tmpl w:val="268C29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4D4E29"/>
    <w:multiLevelType w:val="multilevel"/>
    <w:tmpl w:val="81981372"/>
    <w:lvl w:ilvl="0">
      <w:start w:val="1"/>
      <w:numFmt w:val="none"/>
      <w:suff w:val="nothing"/>
      <w:lvlText w:val=""/>
      <w:lvlJc w:val="left"/>
      <w:pPr>
        <w:ind w:left="432" w:firstLine="0"/>
      </w:pPr>
    </w:lvl>
    <w:lvl w:ilvl="1">
      <w:start w:val="1"/>
      <w:numFmt w:val="none"/>
      <w:suff w:val="nothing"/>
      <w:lvlText w:val=""/>
      <w:lvlJc w:val="left"/>
      <w:pPr>
        <w:ind w:left="576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864" w:firstLine="0"/>
      </w:pPr>
    </w:lvl>
    <w:lvl w:ilvl="4">
      <w:start w:val="1"/>
      <w:numFmt w:val="none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1152" w:firstLine="0"/>
      </w:pPr>
    </w:lvl>
    <w:lvl w:ilvl="6">
      <w:start w:val="1"/>
      <w:numFmt w:val="none"/>
      <w:suff w:val="nothing"/>
      <w:lvlText w:val=""/>
      <w:lvlJc w:val="left"/>
      <w:pPr>
        <w:ind w:left="1296" w:firstLine="0"/>
      </w:pPr>
    </w:lvl>
    <w:lvl w:ilvl="7">
      <w:start w:val="1"/>
      <w:numFmt w:val="none"/>
      <w:suff w:val="nothing"/>
      <w:lvlText w:val=""/>
      <w:lvlJc w:val="left"/>
      <w:pPr>
        <w:ind w:left="1440" w:firstLine="0"/>
      </w:pPr>
    </w:lvl>
    <w:lvl w:ilvl="8">
      <w:start w:val="1"/>
      <w:numFmt w:val="none"/>
      <w:suff w:val="nothing"/>
      <w:lvlText w:val=""/>
      <w:lvlJc w:val="left"/>
      <w:pPr>
        <w:ind w:left="1584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84FE6"/>
    <w:rsid w:val="00284FE6"/>
    <w:rsid w:val="00F4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E6"/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qFormat/>
    <w:rsid w:val="00284FE6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  <w:lang w:eastAsia="zh-CN"/>
    </w:rPr>
  </w:style>
  <w:style w:type="character" w:customStyle="1" w:styleId="a3">
    <w:name w:val="Основной текст Знак"/>
    <w:basedOn w:val="a0"/>
    <w:qFormat/>
    <w:rsid w:val="00284FE6"/>
    <w:rPr>
      <w:rFonts w:eastAsia="Times New Roman" w:cs="Times New Roman"/>
      <w:color w:val="00000A"/>
      <w:szCs w:val="20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D71940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4D05A3"/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D05A3"/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rsid w:val="00284FE6"/>
    <w:rPr>
      <w:rFonts w:ascii="Arial" w:hAnsi="Arial" w:cs="Arial"/>
      <w:b/>
      <w:sz w:val="22"/>
      <w:szCs w:val="20"/>
      <w:lang w:eastAsia="zh-CN"/>
    </w:rPr>
  </w:style>
  <w:style w:type="paragraph" w:styleId="a7">
    <w:name w:val="Body Text"/>
    <w:basedOn w:val="a"/>
    <w:rsid w:val="00284FE6"/>
    <w:pPr>
      <w:spacing w:after="120"/>
    </w:pPr>
    <w:rPr>
      <w:szCs w:val="20"/>
      <w:lang w:eastAsia="zh-CN"/>
    </w:rPr>
  </w:style>
  <w:style w:type="paragraph" w:styleId="a8">
    <w:name w:val="List"/>
    <w:basedOn w:val="a7"/>
    <w:rsid w:val="00284FE6"/>
    <w:rPr>
      <w:rFonts w:cs="Arial"/>
    </w:rPr>
  </w:style>
  <w:style w:type="paragraph" w:customStyle="1" w:styleId="Caption">
    <w:name w:val="Caption"/>
    <w:basedOn w:val="a"/>
    <w:qFormat/>
    <w:rsid w:val="00284FE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84FE6"/>
    <w:pPr>
      <w:suppressLineNumbers/>
    </w:pPr>
    <w:rPr>
      <w:rFonts w:cs="Arial"/>
    </w:rPr>
  </w:style>
  <w:style w:type="paragraph" w:styleId="aa">
    <w:name w:val="caption"/>
    <w:basedOn w:val="a"/>
    <w:qFormat/>
    <w:rsid w:val="00284FE6"/>
    <w:pPr>
      <w:suppressLineNumbers/>
      <w:spacing w:before="120" w:after="120"/>
    </w:pPr>
    <w:rPr>
      <w:rFonts w:cs="Arial"/>
      <w:i/>
      <w:iCs/>
    </w:rPr>
  </w:style>
  <w:style w:type="paragraph" w:customStyle="1" w:styleId="parametervalue">
    <w:name w:val="parametervalue"/>
    <w:basedOn w:val="a"/>
    <w:qFormat/>
    <w:rsid w:val="00284FE6"/>
    <w:pPr>
      <w:suppressAutoHyphens/>
      <w:spacing w:before="280" w:after="280"/>
    </w:pPr>
    <w:rPr>
      <w:lang w:eastAsia="zh-CN"/>
    </w:rPr>
  </w:style>
  <w:style w:type="paragraph" w:styleId="ab">
    <w:name w:val="List Paragraph"/>
    <w:basedOn w:val="a"/>
    <w:qFormat/>
    <w:rsid w:val="00284FE6"/>
    <w:pPr>
      <w:ind w:left="720"/>
      <w:contextualSpacing/>
    </w:pPr>
  </w:style>
  <w:style w:type="paragraph" w:customStyle="1" w:styleId="ac">
    <w:name w:val="Адресат вверху"/>
    <w:basedOn w:val="a"/>
    <w:qFormat/>
    <w:rsid w:val="00284FE6"/>
    <w:pPr>
      <w:suppressAutoHyphens/>
      <w:jc w:val="both"/>
    </w:pPr>
    <w:rPr>
      <w:b/>
      <w:szCs w:val="20"/>
    </w:rPr>
  </w:style>
  <w:style w:type="paragraph" w:customStyle="1" w:styleId="Preformat">
    <w:name w:val="Preformat"/>
    <w:qFormat/>
    <w:rsid w:val="00284FE6"/>
    <w:rPr>
      <w:rFonts w:ascii="Courier New" w:eastAsia="Times New Roman" w:hAnsi="Courier New" w:cs="Courier New"/>
      <w:color w:val="00000A"/>
      <w:sz w:val="24"/>
      <w:szCs w:val="20"/>
      <w:lang w:eastAsia="zh-CN"/>
    </w:rPr>
  </w:style>
  <w:style w:type="paragraph" w:customStyle="1" w:styleId="ConsPlusNonformat">
    <w:name w:val="ConsPlusNonformat"/>
    <w:qFormat/>
    <w:rsid w:val="00284FE6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ad">
    <w:name w:val="Содержимое таблицы"/>
    <w:basedOn w:val="a"/>
    <w:qFormat/>
    <w:rsid w:val="00284FE6"/>
  </w:style>
  <w:style w:type="paragraph" w:customStyle="1" w:styleId="ae">
    <w:name w:val="Заголовок таблицы"/>
    <w:basedOn w:val="ad"/>
    <w:qFormat/>
    <w:rsid w:val="00284FE6"/>
  </w:style>
  <w:style w:type="paragraph" w:customStyle="1" w:styleId="Header">
    <w:name w:val="Header"/>
    <w:basedOn w:val="a"/>
    <w:uiPriority w:val="99"/>
    <w:unhideWhenUsed/>
    <w:rsid w:val="004D05A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D05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order/notice/ea44/view/common-info.html?regNumber=018430000041800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3743</Words>
  <Characters>21338</Characters>
  <Application>Microsoft Office Word</Application>
  <DocSecurity>0</DocSecurity>
  <Lines>177</Lines>
  <Paragraphs>50</Paragraphs>
  <ScaleCrop>false</ScaleCrop>
  <Company>КонсультантПлюс Версия 4020.00.57</Company>
  <LinksUpToDate>false</LinksUpToDate>
  <CharactersWithSpaces>25031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Ярославского УФАС России от 18.01.2021 по делу N 05-03/03П-21(76-03)
Об отказе во включении сведений в реестр недобросовестных поставщиков.</dc:title>
  <dc:subject/>
  <dc:creator>Киселева Юлия Валентиновна</dc:creator>
  <dc:description/>
  <cp:lastModifiedBy>to83-shabanova</cp:lastModifiedBy>
  <cp:revision>26</cp:revision>
  <cp:lastPrinted>2021-02-02T14:22:00Z</cp:lastPrinted>
  <dcterms:created xsi:type="dcterms:W3CDTF">2021-02-02T12:28:00Z</dcterms:created>
  <dcterms:modified xsi:type="dcterms:W3CDTF">2021-03-12T08:27:00Z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