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sz w:val="16"/>
        </w:rPr>
      </w:pPr>
      <w:r>
        <w:rPr>
          <w:sz w:val="16"/>
        </w:rPr>
        <w:drawing>
          <wp:anchor behindDoc="0" distT="0" distB="0" distL="114935" distR="114935" simplePos="0" locked="0" layoutInCell="1" allowOverlap="1" relativeHeight="2">
            <wp:simplePos x="0" y="0"/>
            <wp:positionH relativeFrom="column">
              <wp:posOffset>2628265</wp:posOffset>
            </wp:positionH>
            <wp:positionV relativeFrom="paragraph">
              <wp:posOffset>110490</wp:posOffset>
            </wp:positionV>
            <wp:extent cx="685800" cy="678180"/>
            <wp:effectExtent l="0" t="0" r="0" b="0"/>
            <wp:wrapNone/>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685800" cy="678180"/>
                    </a:xfrm>
                    <a:prstGeom prst="rect">
                      <a:avLst/>
                    </a:prstGeom>
                  </pic:spPr>
                </pic:pic>
              </a:graphicData>
            </a:graphic>
          </wp:anchor>
        </w:drawing>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tbl>
      <w:tblPr>
        <w:tblW w:w="9805" w:type="dxa"/>
        <w:jc w:val="left"/>
        <w:tblInd w:w="0" w:type="dxa"/>
        <w:tblBorders/>
        <w:tblCellMar>
          <w:top w:w="0" w:type="dxa"/>
          <w:left w:w="108" w:type="dxa"/>
          <w:bottom w:w="0" w:type="dxa"/>
          <w:right w:w="108" w:type="dxa"/>
        </w:tblCellMar>
      </w:tblPr>
      <w:tblGrid>
        <w:gridCol w:w="9805"/>
      </w:tblGrid>
      <w:tr>
        <w:trPr>
          <w:trHeight w:val="1862" w:hRule="atLeast"/>
        </w:trPr>
        <w:tc>
          <w:tcPr>
            <w:tcW w:w="9805" w:type="dxa"/>
            <w:tcBorders/>
            <w:shd w:fill="auto" w:val="clear"/>
          </w:tcPr>
          <w:p>
            <w:pPr>
              <w:pStyle w:val="Style15"/>
              <w:jc w:val="center"/>
              <w:rPr/>
            </w:pPr>
            <w:r>
              <w:rPr>
                <w:b/>
                <w:color w:val="0066CC"/>
              </w:rPr>
              <w:t>УПРАВЛЕНИЕ ФЕДЕРАЛЬНОЙ АНТИМОНОПОЛЬНОЙ СЛУЖБЫ</w:t>
            </w:r>
          </w:p>
          <w:p>
            <w:pPr>
              <w:pStyle w:val="Normal"/>
              <w:jc w:val="center"/>
              <w:rPr>
                <w:b/>
                <w:b/>
                <w:color w:val="0066CC"/>
                <w:sz w:val="24"/>
              </w:rPr>
            </w:pPr>
            <w:r>
              <w:rPr>
                <w:b/>
                <w:color w:val="0066CC"/>
                <w:sz w:val="24"/>
              </w:rPr>
              <w:t>ПО НЕНЕЦКОМУ АВТОНОМНОМУ ОКРУГУ</w:t>
            </w:r>
          </w:p>
          <w:p>
            <w:pPr>
              <w:pStyle w:val="Normal"/>
              <w:jc w:val="center"/>
              <w:rPr>
                <w:b/>
                <w:b/>
                <w:color w:val="0066CC"/>
                <w:sz w:val="22"/>
              </w:rPr>
            </w:pPr>
            <w:r>
              <w:rPr>
                <w:b/>
                <w:color w:val="0066CC"/>
                <w:sz w:val="22"/>
              </w:rPr>
            </w:r>
          </w:p>
          <w:p>
            <w:pPr>
              <w:pStyle w:val="3"/>
              <w:numPr>
                <w:ilvl w:val="2"/>
                <w:numId w:val="2"/>
              </w:numPr>
              <w:rPr>
                <w:color w:val="0066CC"/>
                <w:sz w:val="32"/>
              </w:rPr>
            </w:pPr>
            <w:r>
              <w:rPr>
                <w:color w:val="0066CC"/>
                <w:sz w:val="32"/>
              </w:rPr>
              <w:t>Р Е Ш Е Н И Е</w:t>
            </w:r>
          </w:p>
          <w:p>
            <w:pPr>
              <w:pStyle w:val="Normal"/>
              <w:jc w:val="center"/>
              <w:rPr>
                <w:color w:val="0066CC"/>
                <w:sz w:val="22"/>
              </w:rPr>
            </w:pPr>
            <w:r>
              <w:rPr>
                <w:color w:val="0066CC"/>
                <w:sz w:val="22"/>
              </w:rPr>
            </w:r>
          </w:p>
          <w:p>
            <w:pPr>
              <w:pStyle w:val="Normal"/>
              <w:jc w:val="center"/>
              <w:rPr>
                <w:sz w:val="26"/>
                <w:szCs w:val="26"/>
              </w:rPr>
            </w:pPr>
            <w:r>
              <w:rPr>
                <w:sz w:val="26"/>
                <w:szCs w:val="26"/>
              </w:rPr>
              <w:t>о нарушении законодательства о контрактной системе</w:t>
            </w:r>
          </w:p>
          <w:p>
            <w:pPr>
              <w:pStyle w:val="Normal"/>
              <w:jc w:val="center"/>
              <w:rPr>
                <w:color w:val="0066CC"/>
                <w:sz w:val="22"/>
                <w:szCs w:val="26"/>
              </w:rPr>
            </w:pPr>
            <w:r>
              <w:rPr>
                <w:color w:val="0066CC"/>
                <w:sz w:val="22"/>
                <w:szCs w:val="26"/>
              </w:rPr>
            </w:r>
          </w:p>
          <w:p>
            <w:pPr>
              <w:pStyle w:val="Normal"/>
              <w:rPr/>
            </w:pPr>
            <w:r>
              <w:rPr>
                <w:sz w:val="26"/>
                <w:szCs w:val="26"/>
              </w:rPr>
              <w:t>19.07.2016 г.</w:t>
            </w:r>
            <w:r>
              <w:rPr>
                <w:sz w:val="22"/>
              </w:rPr>
              <w:t xml:space="preserve">                                                                                                          </w:t>
            </w:r>
            <w:r>
              <w:rPr>
                <w:sz w:val="26"/>
                <w:szCs w:val="26"/>
              </w:rPr>
              <w:t xml:space="preserve">№ </w:t>
            </w:r>
            <w:r>
              <w:rPr>
                <w:b w:val="false"/>
                <w:bCs w:val="false"/>
                <w:sz w:val="26"/>
                <w:szCs w:val="26"/>
              </w:rPr>
              <w:t>01-33/28-2016</w:t>
            </w:r>
          </w:p>
        </w:tc>
      </w:tr>
    </w:tbl>
    <w:p>
      <w:pPr>
        <w:pStyle w:val="Normal"/>
        <w:rPr>
          <w:sz w:val="16"/>
          <w:lang w:val="ru-RU" w:eastAsia="ru-RU"/>
        </w:rPr>
      </w:pPr>
      <w:r>
        <w:rPr>
          <w:sz w:val="16"/>
          <w:lang w:val="ru-RU" w:eastAsia="ru-RU"/>
        </w:rPr>
      </w:r>
    </w:p>
    <w:p>
      <w:pPr>
        <w:pStyle w:val="Normal"/>
        <w:jc w:val="center"/>
        <w:rPr/>
      </w:pPr>
      <w:r>
        <w:rPr/>
        <w:tab/>
      </w:r>
      <w:r>
        <w:rPr>
          <w:bCs/>
          <w:sz w:val="26"/>
          <w:szCs w:val="26"/>
        </w:rPr>
        <w:t>г. Нарьян-Мар</w:t>
      </w:r>
    </w:p>
    <w:p>
      <w:pPr>
        <w:pStyle w:val="Style21"/>
        <w:ind w:left="0" w:right="0" w:firstLine="540"/>
        <w:rPr>
          <w:sz w:val="26"/>
          <w:szCs w:val="26"/>
        </w:rPr>
      </w:pPr>
      <w:r>
        <w:rPr>
          <w:sz w:val="26"/>
          <w:szCs w:val="26"/>
        </w:rPr>
        <w:t>Сведения о проверке:</w:t>
      </w:r>
    </w:p>
    <w:p>
      <w:pPr>
        <w:pStyle w:val="Style21"/>
        <w:ind w:left="0" w:right="0" w:firstLine="540"/>
        <w:rPr>
          <w:b w:val="false"/>
          <w:b w:val="false"/>
          <w:sz w:val="26"/>
          <w:szCs w:val="26"/>
        </w:rPr>
      </w:pPr>
      <w:r>
        <w:rPr>
          <w:b w:val="false"/>
          <w:sz w:val="26"/>
          <w:szCs w:val="26"/>
        </w:rPr>
        <w:t>Проведена в соответствии со статьей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
    <w:p>
      <w:pPr>
        <w:pStyle w:val="Style21"/>
        <w:ind w:left="0" w:right="0" w:firstLine="540"/>
        <w:rPr>
          <w:sz w:val="26"/>
          <w:szCs w:val="26"/>
        </w:rPr>
      </w:pPr>
      <w:r>
        <w:rPr>
          <w:b w:val="false"/>
          <w:sz w:val="26"/>
          <w:szCs w:val="26"/>
        </w:rPr>
        <w:t>Срок проведения: с 14 июля 2016 года по 19 июля 2016 года;</w:t>
      </w:r>
    </w:p>
    <w:p>
      <w:pPr>
        <w:pStyle w:val="Style21"/>
        <w:ind w:left="0" w:right="0" w:firstLine="540"/>
        <w:rPr>
          <w:sz w:val="26"/>
          <w:szCs w:val="26"/>
        </w:rPr>
      </w:pPr>
      <w:r>
        <w:rPr>
          <w:b w:val="false"/>
          <w:sz w:val="26"/>
          <w:szCs w:val="26"/>
        </w:rPr>
        <w:t xml:space="preserve">Основание – жалоба ООО «МАЛИБУ-АДВ» (далее по тексту – заявитель) на действия аукционной комиссии заказчика – Казенного учреждения Ненецкого автономного округа «Служба материально-технического обеспечения деятельности органов государственной власти Ненецкого автономного округа», закупка № </w:t>
      </w:r>
      <w:r>
        <w:rPr>
          <w:b w:val="false"/>
          <w:bCs/>
          <w:color w:val="000000"/>
          <w:sz w:val="26"/>
          <w:szCs w:val="26"/>
        </w:rPr>
        <w:t>0384200000116000087</w:t>
      </w:r>
      <w:r>
        <w:rPr>
          <w:b w:val="false"/>
          <w:sz w:val="26"/>
          <w:szCs w:val="26"/>
        </w:rPr>
        <w:t>.</w:t>
      </w:r>
    </w:p>
    <w:p>
      <w:pPr>
        <w:pStyle w:val="Style21"/>
        <w:ind w:left="0" w:right="0" w:firstLine="540"/>
        <w:rPr>
          <w:sz w:val="26"/>
          <w:szCs w:val="26"/>
        </w:rPr>
      </w:pPr>
      <w:r>
        <w:rPr>
          <w:b w:val="false"/>
          <w:sz w:val="26"/>
          <w:szCs w:val="26"/>
        </w:rPr>
        <w:t xml:space="preserve">Сведения о закупке № </w:t>
      </w:r>
      <w:r>
        <w:rPr>
          <w:b w:val="false"/>
          <w:bCs/>
          <w:color w:val="000000"/>
          <w:sz w:val="26"/>
          <w:szCs w:val="26"/>
        </w:rPr>
        <w:t>0384200000116000087</w:t>
      </w:r>
      <w:r>
        <w:rPr>
          <w:b w:val="false"/>
          <w:sz w:val="26"/>
          <w:szCs w:val="26"/>
        </w:rPr>
        <w:t>, на которую поступила жалоба:</w:t>
      </w:r>
    </w:p>
    <w:tbl>
      <w:tblPr>
        <w:tblW w:w="9370" w:type="dxa"/>
        <w:jc w:val="left"/>
        <w:tblInd w:w="210" w:type="dxa"/>
        <w:tblBorders>
          <w:top w:val="single" w:sz="4" w:space="0" w:color="000001"/>
          <w:left w:val="single" w:sz="4" w:space="0" w:color="000001"/>
          <w:bottom w:val="single" w:sz="4" w:space="0" w:color="000001"/>
          <w:insideH w:val="single" w:sz="4" w:space="0" w:color="000001"/>
        </w:tblBorders>
        <w:tblCellMar>
          <w:top w:w="0" w:type="dxa"/>
          <w:left w:w="206" w:type="dxa"/>
          <w:bottom w:w="0" w:type="dxa"/>
          <w:right w:w="167" w:type="dxa"/>
        </w:tblCellMar>
      </w:tblPr>
      <w:tblGrid>
        <w:gridCol w:w="4130"/>
        <w:gridCol w:w="5239"/>
      </w:tblGrid>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06" w:type="dxa"/>
            </w:tcMar>
            <w:vAlign w:val="center"/>
          </w:tcPr>
          <w:p>
            <w:pPr>
              <w:pStyle w:val="Normal"/>
              <w:spacing w:before="0" w:after="0"/>
              <w:rPr>
                <w:sz w:val="26"/>
                <w:szCs w:val="26"/>
              </w:rPr>
            </w:pPr>
            <w:r>
              <w:rPr>
                <w:sz w:val="26"/>
                <w:szCs w:val="26"/>
              </w:rPr>
              <w:t>Наименование объекта закупки</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spacing w:before="0" w:after="0"/>
              <w:jc w:val="center"/>
              <w:rPr>
                <w:b w:val="false"/>
                <w:b w:val="false"/>
                <w:bCs w:val="false"/>
              </w:rPr>
            </w:pPr>
            <w:r>
              <w:rPr>
                <w:b w:val="false"/>
                <w:bCs w:val="false"/>
                <w:color w:val="000000"/>
                <w:sz w:val="26"/>
                <w:szCs w:val="26"/>
              </w:rPr>
              <w:t>Приобретение чайных наборов с символикой</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06" w:type="dxa"/>
            </w:tcMar>
            <w:vAlign w:val="center"/>
          </w:tcPr>
          <w:p>
            <w:pPr>
              <w:pStyle w:val="Normal"/>
              <w:spacing w:before="0" w:after="0"/>
              <w:rPr>
                <w:sz w:val="26"/>
                <w:szCs w:val="26"/>
              </w:rPr>
            </w:pPr>
            <w:r>
              <w:rPr>
                <w:sz w:val="26"/>
                <w:szCs w:val="26"/>
              </w:rPr>
              <w:t>Способ определения поставщика (подрядчика, исполнителя)</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spacing w:before="0" w:after="0"/>
              <w:jc w:val="center"/>
              <w:rPr>
                <w:sz w:val="26"/>
                <w:szCs w:val="26"/>
              </w:rPr>
            </w:pPr>
            <w:r>
              <w:rPr>
                <w:sz w:val="26"/>
                <w:szCs w:val="26"/>
              </w:rPr>
              <w:t>Электронный аукцион</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06" w:type="dxa"/>
            </w:tcMar>
            <w:vAlign w:val="center"/>
          </w:tcPr>
          <w:p>
            <w:pPr>
              <w:pStyle w:val="Normal"/>
              <w:spacing w:before="0" w:after="0"/>
              <w:rPr>
                <w:sz w:val="26"/>
                <w:szCs w:val="26"/>
              </w:rPr>
            </w:pPr>
            <w:r>
              <w:rPr>
                <w:sz w:val="26"/>
                <w:szCs w:val="26"/>
              </w:rPr>
              <w:t>Заказчик и адрес его местонахождения</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jc w:val="center"/>
              <w:rPr>
                <w:bCs/>
                <w:sz w:val="26"/>
                <w:szCs w:val="26"/>
              </w:rPr>
            </w:pPr>
            <w:r>
              <w:rPr>
                <w:bCs/>
                <w:sz w:val="26"/>
                <w:szCs w:val="26"/>
              </w:rPr>
              <w:t>Казенное учреждение Ненецкого автономного округа «Служба материально-технического обеспечения деятельности органов государственной власти Ненецкого автономного округа»</w:t>
            </w:r>
          </w:p>
          <w:p>
            <w:pPr>
              <w:pStyle w:val="Normal"/>
              <w:jc w:val="center"/>
              <w:rPr>
                <w:sz w:val="26"/>
                <w:szCs w:val="26"/>
              </w:rPr>
            </w:pPr>
            <w:r>
              <w:rPr>
                <w:sz w:val="26"/>
                <w:szCs w:val="26"/>
              </w:rPr>
              <w:t>166000, Ненецкий автономный округ, г. Нарьян-Мар, ул. Авиаторов, д. 16</w:t>
            </w:r>
          </w:p>
        </w:tc>
      </w:tr>
      <w:tr>
        <w:trPr>
          <w:trHeight w:val="6" w:hRule="atLeast"/>
        </w:trPr>
        <w:tc>
          <w:tcPr>
            <w:tcW w:w="4130" w:type="dxa"/>
            <w:tcBorders>
              <w:top w:val="single" w:sz="4" w:space="0" w:color="000001"/>
              <w:left w:val="single" w:sz="4" w:space="0" w:color="000001"/>
              <w:bottom w:val="single" w:sz="4" w:space="0" w:color="000001"/>
              <w:insideH w:val="single" w:sz="4" w:space="0" w:color="000001"/>
            </w:tcBorders>
            <w:shd w:fill="auto" w:val="clear"/>
            <w:tcMar>
              <w:left w:w="206" w:type="dxa"/>
            </w:tcMar>
            <w:vAlign w:val="center"/>
          </w:tcPr>
          <w:p>
            <w:pPr>
              <w:pStyle w:val="Parameter"/>
              <w:spacing w:before="280" w:after="0"/>
              <w:textAlignment w:val="center"/>
              <w:rPr>
                <w:sz w:val="26"/>
                <w:szCs w:val="26"/>
              </w:rPr>
            </w:pPr>
            <w:r>
              <w:rPr>
                <w:sz w:val="26"/>
                <w:szCs w:val="26"/>
              </w:rPr>
              <w:t>Начальная (максимальная) цена контракта</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spacing w:before="280" w:after="0"/>
              <w:ind w:left="0" w:right="0" w:firstLine="540"/>
              <w:jc w:val="center"/>
              <w:textAlignment w:val="center"/>
              <w:rPr>
                <w:sz w:val="26"/>
                <w:szCs w:val="26"/>
              </w:rPr>
            </w:pPr>
            <w:r>
              <w:rPr>
                <w:sz w:val="26"/>
                <w:szCs w:val="26"/>
              </w:rPr>
              <w:t>789 705 (семьсот восемьдесят девять тысяч семьсот пять) рублей 76 копеек</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06" w:type="dxa"/>
            </w:tcMar>
            <w:vAlign w:val="center"/>
          </w:tcPr>
          <w:p>
            <w:pPr>
              <w:pStyle w:val="Parameter"/>
              <w:spacing w:before="280" w:after="0"/>
              <w:rPr>
                <w:sz w:val="26"/>
                <w:szCs w:val="26"/>
              </w:rPr>
            </w:pPr>
            <w:r>
              <w:rPr>
                <w:sz w:val="26"/>
                <w:szCs w:val="26"/>
              </w:rPr>
              <w:t>Дата и время окончания подачи заявок</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spacing w:lineRule="auto" w:line="240" w:beforeAutospacing="1" w:afterAutospacing="1"/>
              <w:ind w:left="0" w:right="0" w:firstLine="540"/>
              <w:jc w:val="center"/>
              <w:rPr>
                <w:sz w:val="26"/>
                <w:szCs w:val="26"/>
              </w:rPr>
            </w:pPr>
            <w:r>
              <w:rPr>
                <w:rFonts w:eastAsia="Times New Roman" w:cs="Times New Roman"/>
                <w:color w:val="000000"/>
                <w:sz w:val="26"/>
                <w:szCs w:val="26"/>
                <w:lang w:eastAsia="ru-RU"/>
              </w:rPr>
              <w:t>30.06.2016 14:00</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06" w:type="dxa"/>
            </w:tcMar>
            <w:vAlign w:val="center"/>
          </w:tcPr>
          <w:p>
            <w:pPr>
              <w:pStyle w:val="Normal"/>
              <w:spacing w:lineRule="auto" w:line="240" w:beforeAutospacing="1" w:afterAutospacing="1"/>
              <w:rPr>
                <w:sz w:val="26"/>
                <w:szCs w:val="26"/>
              </w:rPr>
            </w:pPr>
            <w:r>
              <w:rPr>
                <w:rFonts w:eastAsia="Times New Roman" w:cs="Times New Roman"/>
                <w:sz w:val="26"/>
                <w:szCs w:val="26"/>
                <w:lang w:eastAsia="ru-RU"/>
              </w:rPr>
              <w:t>Дата окончания срока рассмотрения первых частей заявок участников</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spacing w:lineRule="auto" w:line="240" w:beforeAutospacing="1" w:afterAutospacing="1"/>
              <w:ind w:left="0" w:right="0" w:firstLine="540"/>
              <w:jc w:val="center"/>
              <w:rPr>
                <w:sz w:val="26"/>
                <w:szCs w:val="26"/>
              </w:rPr>
            </w:pPr>
            <w:r>
              <w:rPr>
                <w:rFonts w:eastAsia="Times New Roman" w:cs="Times New Roman"/>
                <w:sz w:val="26"/>
                <w:szCs w:val="26"/>
                <w:lang w:eastAsia="ru-RU"/>
              </w:rPr>
              <w:t>05.07.2016</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06" w:type="dxa"/>
            </w:tcMar>
            <w:vAlign w:val="center"/>
          </w:tcPr>
          <w:p>
            <w:pPr>
              <w:pStyle w:val="Normal"/>
              <w:spacing w:lineRule="auto" w:line="240" w:beforeAutospacing="1" w:afterAutospacing="1"/>
              <w:rPr>
                <w:sz w:val="26"/>
                <w:szCs w:val="26"/>
              </w:rPr>
            </w:pPr>
            <w:r>
              <w:rPr>
                <w:rFonts w:eastAsia="Times New Roman" w:cs="Times New Roman"/>
                <w:sz w:val="26"/>
                <w:szCs w:val="26"/>
                <w:lang w:eastAsia="ru-RU"/>
              </w:rPr>
              <w:t>Дата проведения аукциона в электронной форме</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spacing w:lineRule="auto" w:line="240" w:beforeAutospacing="1" w:afterAutospacing="1"/>
              <w:ind w:left="0" w:right="0" w:firstLine="540"/>
              <w:jc w:val="center"/>
              <w:rPr>
                <w:sz w:val="26"/>
                <w:szCs w:val="26"/>
              </w:rPr>
            </w:pPr>
            <w:r>
              <w:rPr>
                <w:rFonts w:eastAsia="Times New Roman" w:cs="Times New Roman"/>
                <w:sz w:val="26"/>
                <w:szCs w:val="26"/>
                <w:lang w:eastAsia="ru-RU"/>
              </w:rPr>
              <w:t>08.07.2016</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06" w:type="dxa"/>
            </w:tcMar>
            <w:vAlign w:val="center"/>
          </w:tcPr>
          <w:p>
            <w:pPr>
              <w:pStyle w:val="Normal"/>
              <w:spacing w:before="0" w:after="0"/>
              <w:rPr>
                <w:sz w:val="26"/>
                <w:szCs w:val="26"/>
              </w:rPr>
            </w:pPr>
            <w:r>
              <w:rPr>
                <w:sz w:val="26"/>
                <w:szCs w:val="26"/>
              </w:rPr>
              <w:t>Официальный сайт для публикации сведений о закупке в информационно-телекоммуникационной сети «Интернет»</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spacing w:before="0" w:after="0"/>
              <w:ind w:left="0" w:right="0" w:firstLine="540"/>
              <w:rPr/>
            </w:pPr>
            <w:hyperlink r:id="rId3">
              <w:r>
                <w:rPr>
                  <w:rStyle w:val="Style13"/>
                  <w:sz w:val="26"/>
                  <w:szCs w:val="26"/>
                  <w:lang w:val="en-US"/>
                </w:rPr>
                <w:t>www</w:t>
              </w:r>
            </w:hyperlink>
            <w:hyperlink r:id="rId4">
              <w:r>
                <w:rPr>
                  <w:rStyle w:val="Style13"/>
                  <w:sz w:val="26"/>
                  <w:szCs w:val="26"/>
                </w:rPr>
                <w:t>.</w:t>
              </w:r>
            </w:hyperlink>
            <w:hyperlink r:id="rId5">
              <w:r>
                <w:rPr>
                  <w:rStyle w:val="Style13"/>
                  <w:sz w:val="26"/>
                  <w:szCs w:val="26"/>
                  <w:lang w:val="en-US"/>
                </w:rPr>
                <w:t>zakupki</w:t>
              </w:r>
            </w:hyperlink>
            <w:hyperlink r:id="rId6">
              <w:r>
                <w:rPr>
                  <w:rStyle w:val="Style13"/>
                  <w:sz w:val="26"/>
                  <w:szCs w:val="26"/>
                </w:rPr>
                <w:t>.</w:t>
              </w:r>
            </w:hyperlink>
            <w:hyperlink r:id="rId7">
              <w:r>
                <w:rPr>
                  <w:rStyle w:val="Style13"/>
                  <w:sz w:val="26"/>
                  <w:szCs w:val="26"/>
                  <w:lang w:val="en-US"/>
                </w:rPr>
                <w:t>gov</w:t>
              </w:r>
            </w:hyperlink>
            <w:hyperlink r:id="rId8">
              <w:r>
                <w:rPr>
                  <w:rStyle w:val="Style13"/>
                  <w:sz w:val="26"/>
                  <w:szCs w:val="26"/>
                </w:rPr>
                <w:t>.</w:t>
              </w:r>
            </w:hyperlink>
            <w:hyperlink r:id="rId9">
              <w:r>
                <w:rPr>
                  <w:rStyle w:val="Style13"/>
                  <w:sz w:val="26"/>
                  <w:szCs w:val="26"/>
                  <w:lang w:val="en-US"/>
                </w:rPr>
                <w:t>ru</w:t>
              </w:r>
            </w:hyperlink>
          </w:p>
        </w:tc>
      </w:tr>
    </w:tbl>
    <w:p>
      <w:pPr>
        <w:pStyle w:val="Style21"/>
        <w:rPr>
          <w:b w:val="false"/>
          <w:b w:val="false"/>
          <w:sz w:val="26"/>
          <w:szCs w:val="26"/>
        </w:rPr>
      </w:pPr>
      <w:r>
        <w:rPr>
          <w:b w:val="false"/>
          <w:sz w:val="26"/>
          <w:szCs w:val="26"/>
        </w:rPr>
      </w:r>
    </w:p>
    <w:p>
      <w:pPr>
        <w:pStyle w:val="Style21"/>
        <w:ind w:left="0" w:right="0" w:firstLine="540"/>
        <w:jc w:val="both"/>
        <w:rPr>
          <w:sz w:val="26"/>
          <w:szCs w:val="26"/>
        </w:rPr>
      </w:pPr>
      <w:r>
        <w:rPr>
          <w:b w:val="false"/>
          <w:sz w:val="26"/>
          <w:szCs w:val="26"/>
        </w:rPr>
        <w:t>Дата рассмотрения материалов проверки – 19 июля 2016 года.</w:t>
      </w:r>
    </w:p>
    <w:p>
      <w:pPr>
        <w:pStyle w:val="Style21"/>
        <w:ind w:left="0" w:right="0" w:firstLine="540"/>
        <w:jc w:val="both"/>
        <w:rPr>
          <w:b w:val="false"/>
          <w:b w:val="false"/>
          <w:sz w:val="26"/>
          <w:szCs w:val="26"/>
        </w:rPr>
      </w:pPr>
      <w:r>
        <w:rPr>
          <w:b w:val="false"/>
          <w:sz w:val="26"/>
          <w:szCs w:val="26"/>
        </w:rPr>
        <w:t>Рассмотрение проведено Комиссией Управления Федеральной антимонопольной службы по Ненецкому автономному округу (далее по тексту – Комиссия) в составе:</w:t>
      </w:r>
    </w:p>
    <w:p>
      <w:pPr>
        <w:pStyle w:val="Style21"/>
        <w:ind w:left="0" w:right="0" w:firstLine="540"/>
        <w:jc w:val="both"/>
        <w:rPr>
          <w:b w:val="false"/>
          <w:b w:val="false"/>
          <w:sz w:val="26"/>
          <w:szCs w:val="26"/>
        </w:rPr>
      </w:pPr>
      <w:r>
        <w:rPr>
          <w:b w:val="false"/>
          <w:sz w:val="26"/>
          <w:szCs w:val="26"/>
        </w:rPr>
        <w:t>Председатель Комиссии:</w:t>
      </w:r>
    </w:p>
    <w:p>
      <w:pPr>
        <w:pStyle w:val="Style21"/>
        <w:ind w:left="0" w:right="0" w:firstLine="540"/>
        <w:jc w:val="both"/>
        <w:rPr>
          <w:b w:val="false"/>
          <w:b w:val="false"/>
          <w:sz w:val="26"/>
          <w:szCs w:val="26"/>
        </w:rPr>
      </w:pPr>
      <w:r>
        <w:rPr/>
      </w:r>
    </w:p>
    <w:p>
      <w:pPr>
        <w:pStyle w:val="Style21"/>
        <w:ind w:left="0" w:right="0" w:firstLine="540"/>
        <w:jc w:val="both"/>
        <w:rPr>
          <w:b w:val="false"/>
          <w:b w:val="false"/>
          <w:sz w:val="26"/>
          <w:szCs w:val="26"/>
        </w:rPr>
      </w:pPr>
      <w:r>
        <w:rPr>
          <w:b w:val="false"/>
          <w:sz w:val="26"/>
          <w:szCs w:val="26"/>
        </w:rPr>
        <w:t xml:space="preserve">Члены Комиссии: </w:t>
      </w:r>
    </w:p>
    <w:p>
      <w:pPr>
        <w:pStyle w:val="Style21"/>
        <w:ind w:left="0" w:right="0" w:firstLine="540"/>
        <w:jc w:val="both"/>
        <w:rPr>
          <w:b w:val="false"/>
          <w:b w:val="false"/>
          <w:sz w:val="26"/>
          <w:szCs w:val="26"/>
        </w:rPr>
      </w:pPr>
      <w:r>
        <w:rPr/>
      </w:r>
    </w:p>
    <w:p>
      <w:pPr>
        <w:pStyle w:val="Style21"/>
        <w:ind w:left="0" w:right="0" w:firstLine="540"/>
        <w:jc w:val="both"/>
        <w:rPr>
          <w:sz w:val="26"/>
          <w:szCs w:val="26"/>
        </w:rPr>
      </w:pPr>
      <w:r>
        <w:rPr>
          <w:b w:val="false"/>
          <w:sz w:val="26"/>
          <w:szCs w:val="26"/>
        </w:rPr>
        <w:t>в отсутствии законного представителя Заявителя (уведомлен), в присутствии представителей Заказчика (доверенность № 6 от 18.07.2016), (доверенность  № 7 от 18.07.2016).</w:t>
      </w:r>
    </w:p>
    <w:p>
      <w:pPr>
        <w:pStyle w:val="Style21"/>
        <w:ind w:left="0" w:right="0" w:firstLine="540"/>
        <w:jc w:val="both"/>
        <w:rPr>
          <w:sz w:val="26"/>
          <w:szCs w:val="26"/>
        </w:rPr>
      </w:pPr>
      <w:r>
        <w:rPr>
          <w:b w:val="false"/>
          <w:sz w:val="26"/>
          <w:szCs w:val="26"/>
        </w:rPr>
        <w:t xml:space="preserve">При проведении проверки и рассмотрении жалобы заявителя, материалов дела № </w:t>
      </w:r>
      <w:r>
        <w:rPr>
          <w:b w:val="false"/>
          <w:bCs w:val="false"/>
          <w:sz w:val="26"/>
          <w:szCs w:val="26"/>
        </w:rPr>
        <w:t>01-33/28-2016</w:t>
      </w:r>
      <w:r>
        <w:rPr>
          <w:b w:val="false"/>
          <w:sz w:val="26"/>
          <w:szCs w:val="26"/>
        </w:rPr>
        <w:t xml:space="preserve"> Комиссия</w:t>
      </w:r>
    </w:p>
    <w:p>
      <w:pPr>
        <w:pStyle w:val="Normal"/>
        <w:ind w:left="0" w:right="-50" w:firstLine="540"/>
        <w:jc w:val="both"/>
        <w:rPr>
          <w:b/>
          <w:b/>
          <w:sz w:val="26"/>
          <w:szCs w:val="26"/>
        </w:rPr>
      </w:pPr>
      <w:r>
        <w:rPr>
          <w:b/>
          <w:sz w:val="26"/>
          <w:szCs w:val="26"/>
        </w:rPr>
      </w:r>
    </w:p>
    <w:p>
      <w:pPr>
        <w:pStyle w:val="Normal"/>
        <w:ind w:left="0" w:right="-50" w:firstLine="540"/>
        <w:jc w:val="center"/>
        <w:rPr>
          <w:sz w:val="26"/>
          <w:szCs w:val="26"/>
        </w:rPr>
      </w:pPr>
      <w:r>
        <w:rPr>
          <w:sz w:val="26"/>
          <w:szCs w:val="26"/>
        </w:rPr>
        <w:t>УСТАНОВИЛА:</w:t>
      </w:r>
    </w:p>
    <w:p>
      <w:pPr>
        <w:pStyle w:val="Normal"/>
        <w:spacing w:before="240" w:after="0"/>
        <w:ind w:left="0" w:right="0" w:firstLine="540"/>
        <w:jc w:val="both"/>
        <w:rPr>
          <w:sz w:val="26"/>
          <w:szCs w:val="26"/>
        </w:rPr>
      </w:pPr>
      <w:r>
        <w:rPr>
          <w:sz w:val="26"/>
          <w:szCs w:val="26"/>
        </w:rPr>
        <w:t>13.07.2016 в Управление Федеральной антимонопольной службы по Ненецкому автономному округу (далее по тексту - Ненецкое УФАС России) поступила жалоба (вх. № 1818) от Заявителя.</w:t>
      </w:r>
    </w:p>
    <w:p>
      <w:pPr>
        <w:pStyle w:val="Normal"/>
        <w:ind w:left="0" w:right="0" w:firstLine="540"/>
        <w:jc w:val="both"/>
        <w:rPr>
          <w:sz w:val="26"/>
          <w:szCs w:val="26"/>
        </w:rPr>
      </w:pPr>
      <w:r>
        <w:rPr>
          <w:sz w:val="26"/>
          <w:szCs w:val="26"/>
        </w:rPr>
        <w:t>Доводы жалобы:</w:t>
      </w:r>
    </w:p>
    <w:p>
      <w:pPr>
        <w:pStyle w:val="Normal"/>
        <w:ind w:firstLine="540"/>
        <w:jc w:val="both"/>
        <w:rPr>
          <w:sz w:val="26"/>
          <w:szCs w:val="26"/>
        </w:rPr>
      </w:pPr>
      <w:r>
        <w:rPr>
          <w:sz w:val="26"/>
          <w:szCs w:val="26"/>
        </w:rPr>
        <w:t xml:space="preserve">Заявитель получил отказ в допуске к электронному аукциону № </w:t>
      </w:r>
      <w:r>
        <w:rPr>
          <w:b w:val="false"/>
          <w:bCs/>
          <w:color w:val="000000"/>
          <w:sz w:val="26"/>
          <w:szCs w:val="26"/>
        </w:rPr>
        <w:t>0384200000116000087</w:t>
      </w:r>
      <w:r>
        <w:rPr>
          <w:sz w:val="26"/>
          <w:szCs w:val="26"/>
        </w:rPr>
        <w:t>. Заявитель указывает, что его заявка отклонена по причине отсутствия конкретного показателя используемого товара, соответствующего значениям, установленным аукционной документацией. Заявитель считает, что  в</w:t>
      </w:r>
      <w:r>
        <w:rPr>
          <w:sz w:val="26"/>
          <w:szCs w:val="26"/>
          <w:lang w:val="ru-RU"/>
        </w:rPr>
        <w:t xml:space="preserve"> инструкции по заполнению заявки на участие в электронном аукционе не указан порядок формирования заявки на участие в аукционе, в части понимания значений "-".</w:t>
      </w:r>
      <w:r>
        <w:rPr>
          <w:sz w:val="26"/>
          <w:szCs w:val="26"/>
        </w:rPr>
        <w:t xml:space="preserve">  Заявитель указывает, что в протоколе отсутствует  обоснование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Заявитель не согласен с данным решением и просит отменить протокол рассмотрения первых частей заявок и провести повторное рассмотрение.</w:t>
      </w:r>
    </w:p>
    <w:p>
      <w:pPr>
        <w:pStyle w:val="Normal"/>
        <w:ind w:firstLine="540"/>
        <w:jc w:val="both"/>
        <w:rPr>
          <w:sz w:val="26"/>
          <w:szCs w:val="26"/>
        </w:rPr>
      </w:pPr>
      <w:r>
        <w:rPr>
          <w:sz w:val="26"/>
          <w:szCs w:val="26"/>
        </w:rPr>
      </w:r>
    </w:p>
    <w:p>
      <w:pPr>
        <w:pStyle w:val="Normal"/>
        <w:ind w:firstLine="540"/>
        <w:jc w:val="both"/>
        <w:rPr>
          <w:sz w:val="26"/>
          <w:szCs w:val="26"/>
        </w:rPr>
      </w:pPr>
      <w:r>
        <w:rPr>
          <w:sz w:val="26"/>
          <w:szCs w:val="26"/>
        </w:rPr>
        <w:t>Членами аукционной комиссии Заказчика представлены пояснения по доводам жалобы, согласно которым решение об отклонение заявки участника было принято правомерно.</w:t>
      </w:r>
    </w:p>
    <w:p>
      <w:pPr>
        <w:pStyle w:val="Normal"/>
        <w:jc w:val="both"/>
        <w:rPr>
          <w:sz w:val="26"/>
          <w:szCs w:val="26"/>
        </w:rPr>
      </w:pPr>
      <w:r>
        <w:rPr>
          <w:sz w:val="26"/>
          <w:szCs w:val="26"/>
        </w:rPr>
        <w:tab/>
        <w:t>Согласно части 3 статьи 66 Закона о контрактной системе первая часть заявки на участие в электронном аукционе должна содержать указанную в одном из следующих подпунктов информацию:</w:t>
      </w:r>
    </w:p>
    <w:p>
      <w:pPr>
        <w:pStyle w:val="Normal"/>
        <w:ind w:firstLine="540"/>
        <w:jc w:val="both"/>
        <w:rPr>
          <w:sz w:val="26"/>
          <w:szCs w:val="26"/>
        </w:rPr>
      </w:pPr>
      <w:r>
        <w:rPr>
          <w:sz w:val="26"/>
          <w:szCs w:val="26"/>
        </w:rPr>
        <w:t>1) при заключении контракта на поставку товара:</w:t>
      </w:r>
    </w:p>
    <w:p>
      <w:pPr>
        <w:pStyle w:val="Normal"/>
        <w:ind w:firstLine="540"/>
        <w:jc w:val="both"/>
        <w:rPr>
          <w:sz w:val="26"/>
          <w:szCs w:val="26"/>
        </w:rPr>
      </w:pPr>
      <w:r>
        <w:rPr>
          <w:sz w:val="26"/>
          <w:szCs w:val="2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pPr>
        <w:pStyle w:val="Normal"/>
        <w:ind w:firstLine="540"/>
        <w:jc w:val="both"/>
        <w:rPr>
          <w:sz w:val="26"/>
          <w:szCs w:val="26"/>
        </w:rPr>
      </w:pPr>
      <w:r>
        <w:rPr>
          <w:sz w:val="26"/>
          <w:szCs w:val="26"/>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Normal"/>
        <w:ind w:firstLine="540"/>
        <w:jc w:val="both"/>
        <w:rPr>
          <w:sz w:val="26"/>
          <w:szCs w:val="26"/>
        </w:rPr>
      </w:pPr>
      <w:r>
        <w:rPr>
          <w:sz w:val="26"/>
          <w:szCs w:val="26"/>
        </w:rPr>
        <w:t>Техническим заданием Заказчика установлены следующие требования:</w:t>
      </w:r>
    </w:p>
    <w:p>
      <w:pPr>
        <w:pStyle w:val="Normal"/>
        <w:ind w:firstLine="540"/>
        <w:jc w:val="both"/>
        <w:rPr>
          <w:sz w:val="26"/>
          <w:szCs w:val="26"/>
        </w:rPr>
      </w:pPr>
      <w:r>
        <w:rPr>
          <w:sz w:val="26"/>
          <w:szCs w:val="26"/>
        </w:rPr>
        <w:t xml:space="preserve">Пункт 1 Технического задания: </w:t>
      </w:r>
    </w:p>
    <w:p>
      <w:pPr>
        <w:pStyle w:val="Normal"/>
        <w:spacing w:before="0" w:after="0"/>
        <w:jc w:val="both"/>
        <w:rPr>
          <w:sz w:val="26"/>
          <w:szCs w:val="26"/>
        </w:rPr>
      </w:pPr>
      <w:r>
        <w:rPr>
          <w:rFonts w:cs="Times New Roman"/>
          <w:b/>
          <w:sz w:val="26"/>
          <w:szCs w:val="26"/>
        </w:rPr>
        <w:t xml:space="preserve">Стакан: </w:t>
      </w:r>
    </w:p>
    <w:p>
      <w:pPr>
        <w:pStyle w:val="Normal"/>
        <w:spacing w:before="0" w:after="0"/>
        <w:jc w:val="both"/>
        <w:rPr>
          <w:sz w:val="26"/>
          <w:szCs w:val="26"/>
        </w:rPr>
      </w:pPr>
      <w:r>
        <w:rPr>
          <w:rFonts w:cs="Times New Roman"/>
          <w:sz w:val="26"/>
          <w:szCs w:val="26"/>
        </w:rPr>
        <w:t>Материал: хрустальное стекло</w:t>
      </w:r>
    </w:p>
    <w:p>
      <w:pPr>
        <w:pStyle w:val="Normal"/>
        <w:spacing w:before="0" w:after="0"/>
        <w:jc w:val="both"/>
        <w:rPr>
          <w:sz w:val="26"/>
          <w:szCs w:val="26"/>
        </w:rPr>
      </w:pPr>
      <w:r>
        <w:rPr>
          <w:rFonts w:cs="Times New Roman"/>
          <w:sz w:val="26"/>
          <w:szCs w:val="26"/>
        </w:rPr>
        <w:t>Объём: 250 мл.</w:t>
      </w:r>
    </w:p>
    <w:p>
      <w:pPr>
        <w:pStyle w:val="Normal"/>
        <w:spacing w:before="0" w:after="0"/>
        <w:jc w:val="both"/>
        <w:rPr>
          <w:sz w:val="26"/>
          <w:szCs w:val="26"/>
        </w:rPr>
      </w:pPr>
      <w:r>
        <w:rPr>
          <w:rFonts w:cs="Times New Roman"/>
          <w:sz w:val="26"/>
          <w:szCs w:val="26"/>
        </w:rPr>
        <w:t>Размер: внутренний диаметр 64-65 мм(±1мм),</w:t>
      </w:r>
    </w:p>
    <w:p>
      <w:pPr>
        <w:pStyle w:val="Normal"/>
        <w:spacing w:before="0" w:after="0"/>
        <w:jc w:val="both"/>
        <w:rPr>
          <w:sz w:val="26"/>
          <w:szCs w:val="26"/>
        </w:rPr>
      </w:pPr>
      <w:r>
        <w:rPr>
          <w:rFonts w:cs="Times New Roman"/>
          <w:b/>
          <w:sz w:val="26"/>
          <w:szCs w:val="26"/>
        </w:rPr>
        <w:t>Подстаканник:</w:t>
      </w:r>
    </w:p>
    <w:p>
      <w:pPr>
        <w:pStyle w:val="Normal"/>
        <w:spacing w:before="0" w:after="0"/>
        <w:jc w:val="both"/>
        <w:rPr>
          <w:sz w:val="26"/>
          <w:szCs w:val="26"/>
        </w:rPr>
      </w:pPr>
      <w:r>
        <w:rPr>
          <w:rFonts w:cs="Times New Roman"/>
          <w:sz w:val="26"/>
          <w:szCs w:val="26"/>
        </w:rPr>
        <w:t>Материал: латунь Цвет: серебро (допускаются оттенки серебра)</w:t>
      </w:r>
    </w:p>
    <w:p>
      <w:pPr>
        <w:pStyle w:val="Normal"/>
        <w:jc w:val="both"/>
        <w:rPr>
          <w:sz w:val="26"/>
          <w:szCs w:val="26"/>
        </w:rPr>
      </w:pPr>
      <w:r>
        <w:rPr>
          <w:rFonts w:cs="Times New Roman"/>
          <w:sz w:val="26"/>
          <w:szCs w:val="26"/>
        </w:rPr>
        <w:t>Размер: внутренний диаметр 68-69 мм (±2мм), высота поддона (без ручки) 70-90 мм(±2мм).</w:t>
      </w:r>
    </w:p>
    <w:p>
      <w:pPr>
        <w:pStyle w:val="Normal"/>
        <w:jc w:val="both"/>
        <w:rPr>
          <w:sz w:val="26"/>
          <w:szCs w:val="26"/>
        </w:rPr>
      </w:pPr>
      <w:r>
        <w:rPr>
          <w:rFonts w:cs="Times New Roman"/>
          <w:sz w:val="26"/>
          <w:szCs w:val="26"/>
        </w:rPr>
        <w:t>Нанесение: на боковых медальонах герб РФ, диаметром не менее 27 мм (±2мм) выполнен методом штампа на центральном медальоне</w:t>
      </w:r>
      <w:r>
        <w:rPr>
          <w:rFonts w:cs="Times New Roman"/>
          <w:b/>
          <w:sz w:val="26"/>
          <w:szCs w:val="26"/>
        </w:rPr>
        <w:t xml:space="preserve"> </w:t>
      </w:r>
      <w:r>
        <w:rPr>
          <w:rFonts w:cs="Times New Roman"/>
          <w:sz w:val="26"/>
          <w:szCs w:val="26"/>
        </w:rPr>
        <w:t>рисунок</w:t>
      </w:r>
      <w:r>
        <w:rPr>
          <w:rFonts w:cs="Times New Roman"/>
          <w:b/>
          <w:sz w:val="26"/>
          <w:szCs w:val="26"/>
        </w:rPr>
        <w:t xml:space="preserve"> </w:t>
      </w:r>
      <w:r>
        <w:rPr>
          <w:rFonts w:cs="Times New Roman"/>
          <w:sz w:val="26"/>
          <w:szCs w:val="26"/>
        </w:rPr>
        <w:t xml:space="preserve">индивидуального дизайна с использованием символики НАО размером 40х40мм (±2мм) выполнен методом гравировки. </w:t>
      </w:r>
    </w:p>
    <w:p>
      <w:pPr>
        <w:pStyle w:val="Normal"/>
        <w:jc w:val="both"/>
        <w:rPr>
          <w:sz w:val="26"/>
          <w:szCs w:val="26"/>
        </w:rPr>
      </w:pPr>
      <w:r>
        <w:rPr>
          <w:rFonts w:cs="Times New Roman"/>
          <w:sz w:val="26"/>
          <w:szCs w:val="26"/>
        </w:rPr>
        <w:t>Надпись на ленте, расположенной под центральным медальоном размером:                                                   длина 35 мм   (±2мм) ширина 7мм. (±2 мм) выполнена методом гравировки.</w:t>
      </w:r>
    </w:p>
    <w:p>
      <w:pPr>
        <w:pStyle w:val="Normal"/>
        <w:jc w:val="both"/>
        <w:rPr>
          <w:sz w:val="26"/>
          <w:szCs w:val="26"/>
        </w:rPr>
      </w:pPr>
      <w:r>
        <w:rPr>
          <w:rFonts w:cs="Times New Roman"/>
          <w:b/>
          <w:sz w:val="26"/>
          <w:szCs w:val="26"/>
        </w:rPr>
        <w:t xml:space="preserve">Ложка чайная: </w:t>
      </w:r>
    </w:p>
    <w:p>
      <w:pPr>
        <w:pStyle w:val="Normal"/>
        <w:jc w:val="both"/>
        <w:rPr>
          <w:sz w:val="26"/>
          <w:szCs w:val="26"/>
        </w:rPr>
      </w:pPr>
      <w:r>
        <w:rPr>
          <w:rFonts w:cs="Times New Roman"/>
          <w:sz w:val="26"/>
          <w:szCs w:val="26"/>
        </w:rPr>
        <w:t xml:space="preserve">Материал: нержавеющая сталь </w:t>
      </w:r>
    </w:p>
    <w:p>
      <w:pPr>
        <w:pStyle w:val="Normal"/>
        <w:jc w:val="both"/>
        <w:rPr>
          <w:sz w:val="26"/>
          <w:szCs w:val="26"/>
        </w:rPr>
      </w:pPr>
      <w:r>
        <w:rPr>
          <w:rFonts w:cs="Times New Roman"/>
          <w:sz w:val="26"/>
          <w:szCs w:val="26"/>
        </w:rPr>
        <w:t>Цвет: серебро (допускаются оттенки серебра)</w:t>
      </w:r>
    </w:p>
    <w:p>
      <w:pPr>
        <w:pStyle w:val="Normal"/>
        <w:jc w:val="both"/>
        <w:rPr>
          <w:sz w:val="26"/>
          <w:szCs w:val="26"/>
        </w:rPr>
      </w:pPr>
      <w:r>
        <w:rPr>
          <w:rFonts w:cs="Times New Roman"/>
          <w:b/>
          <w:sz w:val="26"/>
          <w:szCs w:val="26"/>
        </w:rPr>
        <w:t xml:space="preserve">Подарочная коробка: </w:t>
      </w:r>
    </w:p>
    <w:p>
      <w:pPr>
        <w:pStyle w:val="Normal"/>
        <w:jc w:val="both"/>
        <w:rPr>
          <w:sz w:val="26"/>
          <w:szCs w:val="26"/>
        </w:rPr>
      </w:pPr>
      <w:r>
        <w:rPr>
          <w:rFonts w:cs="Times New Roman"/>
          <w:sz w:val="26"/>
          <w:szCs w:val="26"/>
        </w:rPr>
        <w:t>Материал: переплетный картон 1,5 мм (эфалин) цвет Королевский синий, полная оклейка, имеет жесткий каркас, конструкция, «крышка/дно», высота крышки 30 мм(±2мм). Дно: ложемент поролон, обшитый синим атласом, с выемкой под предметы, петля под ложку.</w:t>
      </w:r>
    </w:p>
    <w:p>
      <w:pPr>
        <w:pStyle w:val="Normal"/>
        <w:jc w:val="both"/>
        <w:rPr>
          <w:sz w:val="26"/>
          <w:szCs w:val="26"/>
        </w:rPr>
      </w:pPr>
      <w:r>
        <w:rPr>
          <w:rFonts w:cs="Times New Roman"/>
          <w:sz w:val="26"/>
          <w:szCs w:val="26"/>
        </w:rPr>
        <w:t>Цвет: синий (допускаются оттенки синего)</w:t>
      </w:r>
    </w:p>
    <w:p>
      <w:pPr>
        <w:pStyle w:val="Normal"/>
        <w:jc w:val="both"/>
        <w:rPr>
          <w:sz w:val="26"/>
          <w:szCs w:val="26"/>
        </w:rPr>
      </w:pPr>
      <w:r>
        <w:rPr>
          <w:rFonts w:cs="Times New Roman"/>
          <w:sz w:val="26"/>
          <w:szCs w:val="26"/>
        </w:rPr>
        <w:t>Размер: ширина 170(±2мм),  высота 175мм (±2мм), глубина 100 мм(±2мм)</w:t>
      </w:r>
    </w:p>
    <w:p>
      <w:pPr>
        <w:pStyle w:val="Normal"/>
        <w:ind w:hanging="0"/>
        <w:jc w:val="both"/>
        <w:rPr>
          <w:sz w:val="26"/>
          <w:szCs w:val="26"/>
        </w:rPr>
      </w:pPr>
      <w:r>
        <w:rPr>
          <w:rFonts w:cs="Times New Roman"/>
          <w:b w:val="false"/>
          <w:bCs w:val="false"/>
          <w:sz w:val="26"/>
          <w:szCs w:val="26"/>
        </w:rPr>
        <w:t>Нанесение на крышку коробки: рисунок индивидуального дизайна с использованием символики НАО размером ширина  90 мм  (±2мм) высота 90 мм (±2мм) выполнен методом тиснения из фольги серебристого  цвета ).</w:t>
      </w:r>
    </w:p>
    <w:p>
      <w:pPr>
        <w:pStyle w:val="Normal"/>
        <w:ind w:hanging="0"/>
        <w:jc w:val="both"/>
        <w:rPr>
          <w:sz w:val="26"/>
          <w:szCs w:val="26"/>
        </w:rPr>
      </w:pPr>
      <w:r>
        <w:rPr>
          <w:rFonts w:cs="Times New Roman"/>
          <w:b w:val="false"/>
          <w:bCs w:val="false"/>
          <w:sz w:val="26"/>
          <w:szCs w:val="26"/>
        </w:rPr>
        <w:tab/>
        <w:t>Пункт 2 Технического задания:</w:t>
      </w:r>
    </w:p>
    <w:p>
      <w:pPr>
        <w:pStyle w:val="Normal"/>
        <w:rPr>
          <w:sz w:val="26"/>
          <w:szCs w:val="26"/>
        </w:rPr>
      </w:pPr>
      <w:r>
        <w:rPr>
          <w:rFonts w:cs="Times New Roman"/>
          <w:b/>
          <w:sz w:val="26"/>
          <w:szCs w:val="26"/>
        </w:rPr>
        <w:t xml:space="preserve">Тип чая: </w:t>
      </w:r>
      <w:r>
        <w:rPr>
          <w:rFonts w:cs="Times New Roman"/>
          <w:sz w:val="26"/>
          <w:szCs w:val="26"/>
        </w:rPr>
        <w:t>плантационный, черный чай, сбор не ранее 4 квартала 2015 г.</w:t>
      </w:r>
    </w:p>
    <w:p>
      <w:pPr>
        <w:pStyle w:val="Normal"/>
        <w:rPr>
          <w:sz w:val="26"/>
          <w:szCs w:val="26"/>
        </w:rPr>
      </w:pPr>
      <w:r>
        <w:rPr>
          <w:rFonts w:cs="Times New Roman"/>
          <w:b/>
          <w:sz w:val="26"/>
          <w:szCs w:val="26"/>
        </w:rPr>
        <w:t xml:space="preserve">Упаковка: </w:t>
      </w:r>
      <w:r>
        <w:rPr>
          <w:rFonts w:cs="Times New Roman"/>
          <w:sz w:val="26"/>
          <w:szCs w:val="26"/>
        </w:rPr>
        <w:t xml:space="preserve">пакет фасовочный фольгированный синего цвета , объемом не менее 250 гр.  </w:t>
      </w:r>
    </w:p>
    <w:p>
      <w:pPr>
        <w:pStyle w:val="Normal"/>
        <w:rPr>
          <w:sz w:val="26"/>
          <w:szCs w:val="26"/>
        </w:rPr>
      </w:pPr>
      <w:r>
        <w:rPr>
          <w:rFonts w:cs="Times New Roman"/>
          <w:b/>
          <w:sz w:val="26"/>
          <w:szCs w:val="26"/>
        </w:rPr>
        <w:t>Маркировка</w:t>
      </w:r>
      <w:r>
        <w:rPr>
          <w:rFonts w:cs="Times New Roman"/>
          <w:sz w:val="26"/>
          <w:szCs w:val="26"/>
        </w:rPr>
        <w:t xml:space="preserve">: этикетка серебристого цвета размером: высота 100 мм (±1мм)  ширина 60 мм(±1мм)   нанесена на упаковку по центру с указанием названием чая, сортом чая, составом чая, способом приготовления, сроком годности, датой сбора. </w:t>
      </w:r>
    </w:p>
    <w:p>
      <w:pPr>
        <w:pStyle w:val="Normal"/>
        <w:ind w:hanging="0"/>
        <w:jc w:val="both"/>
        <w:rPr>
          <w:sz w:val="26"/>
          <w:szCs w:val="26"/>
        </w:rPr>
      </w:pPr>
      <w:r>
        <w:rPr>
          <w:rFonts w:cs="Times New Roman"/>
          <w:b/>
          <w:bCs w:val="false"/>
          <w:sz w:val="26"/>
          <w:szCs w:val="26"/>
        </w:rPr>
        <w:t>Оформление</w:t>
      </w:r>
      <w:r>
        <w:rPr>
          <w:rFonts w:cs="Times New Roman"/>
          <w:b w:val="false"/>
          <w:bCs w:val="false"/>
          <w:sz w:val="26"/>
          <w:szCs w:val="26"/>
        </w:rPr>
        <w:t>: дополнительная бирка размером : ширина 45 мм(±2мм) высота 45 мм(±2мм) синего цвета с нанесением</w:t>
      </w:r>
      <w:r>
        <w:rPr>
          <w:rFonts w:cs="Times New Roman"/>
          <w:b/>
          <w:bCs w:val="false"/>
          <w:sz w:val="26"/>
          <w:szCs w:val="26"/>
        </w:rPr>
        <w:t xml:space="preserve"> </w:t>
      </w:r>
      <w:r>
        <w:rPr>
          <w:rFonts w:cs="Times New Roman"/>
          <w:b w:val="false"/>
          <w:bCs w:val="false"/>
          <w:sz w:val="26"/>
          <w:szCs w:val="26"/>
        </w:rPr>
        <w:t>рисунка</w:t>
      </w:r>
      <w:r>
        <w:rPr>
          <w:rFonts w:cs="Times New Roman"/>
          <w:b/>
          <w:bCs w:val="false"/>
          <w:sz w:val="26"/>
          <w:szCs w:val="26"/>
        </w:rPr>
        <w:t xml:space="preserve"> </w:t>
      </w:r>
      <w:r>
        <w:rPr>
          <w:rFonts w:cs="Times New Roman"/>
          <w:b w:val="false"/>
          <w:bCs w:val="false"/>
          <w:sz w:val="26"/>
          <w:szCs w:val="26"/>
        </w:rPr>
        <w:t>индивидуального дизайна с использованием символики НАО размером ширина 40 мм(±2мм) высота 40 мм(±2мм) ,выполнен методом тиснения из фольги серебристого цвета. Брика прикреплена к двум отверстиям, расположенным симметрично по центру пакета на расстоянии 8 мм. (±2 мм) от верха, декоративным шнурком  диаметром 3 мм (±1 мм) светло-коричневого цвета.</w:t>
      </w:r>
    </w:p>
    <w:p>
      <w:pPr>
        <w:pStyle w:val="Normal"/>
        <w:ind w:hanging="0"/>
        <w:jc w:val="both"/>
        <w:rPr>
          <w:sz w:val="26"/>
          <w:szCs w:val="26"/>
        </w:rPr>
      </w:pPr>
      <w:r>
        <w:rPr>
          <w:rFonts w:cs="Times New Roman"/>
          <w:b w:val="false"/>
          <w:bCs w:val="false"/>
          <w:sz w:val="26"/>
          <w:szCs w:val="26"/>
        </w:rPr>
        <w:tab/>
        <w:t>Пункт 3 Технического задания:</w:t>
      </w:r>
    </w:p>
    <w:p>
      <w:pPr>
        <w:pStyle w:val="Normal"/>
        <w:jc w:val="both"/>
        <w:rPr>
          <w:sz w:val="26"/>
          <w:szCs w:val="26"/>
        </w:rPr>
      </w:pPr>
      <w:r>
        <w:rPr>
          <w:rFonts w:cs="Times New Roman"/>
          <w:b/>
          <w:sz w:val="26"/>
          <w:szCs w:val="26"/>
        </w:rPr>
        <w:t>Пакет подарочный:</w:t>
      </w:r>
    </w:p>
    <w:p>
      <w:pPr>
        <w:pStyle w:val="Normal"/>
        <w:jc w:val="both"/>
        <w:rPr>
          <w:sz w:val="26"/>
          <w:szCs w:val="26"/>
        </w:rPr>
      </w:pPr>
      <w:r>
        <w:rPr>
          <w:rFonts w:cs="Times New Roman"/>
          <w:b/>
          <w:sz w:val="26"/>
          <w:szCs w:val="26"/>
        </w:rPr>
        <w:t>Размер</w:t>
      </w:r>
      <w:r>
        <w:rPr>
          <w:rFonts w:cs="Times New Roman"/>
          <w:sz w:val="26"/>
          <w:szCs w:val="26"/>
        </w:rPr>
        <w:t>:  ШхВхГ мм 240х310х110 мм (±2мм), (вертикальный). Люверсы серебряного цвета и синий верёвочный  шнур.</w:t>
      </w:r>
    </w:p>
    <w:p>
      <w:pPr>
        <w:pStyle w:val="Normal"/>
        <w:jc w:val="both"/>
        <w:rPr>
          <w:sz w:val="26"/>
          <w:szCs w:val="26"/>
        </w:rPr>
      </w:pPr>
      <w:r>
        <w:rPr>
          <w:rFonts w:cs="Times New Roman"/>
          <w:b/>
          <w:sz w:val="26"/>
          <w:szCs w:val="26"/>
        </w:rPr>
        <w:t xml:space="preserve">Материал: </w:t>
      </w:r>
      <w:r>
        <w:rPr>
          <w:rFonts w:cs="Times New Roman"/>
          <w:sz w:val="26"/>
          <w:szCs w:val="26"/>
        </w:rPr>
        <w:t>картон  маджестик «настоящее серебро» плотностью не менее 250 гр./м2,</w:t>
      </w:r>
    </w:p>
    <w:p>
      <w:pPr>
        <w:pStyle w:val="Normal"/>
        <w:ind w:hanging="0"/>
        <w:jc w:val="both"/>
        <w:rPr>
          <w:sz w:val="26"/>
          <w:szCs w:val="26"/>
        </w:rPr>
      </w:pPr>
      <w:r>
        <w:rPr>
          <w:rFonts w:cs="Times New Roman"/>
          <w:b/>
          <w:bCs w:val="false"/>
          <w:sz w:val="26"/>
          <w:szCs w:val="26"/>
        </w:rPr>
        <w:t>Нанесение:</w:t>
      </w:r>
      <w:r>
        <w:rPr>
          <w:rFonts w:cs="Times New Roman"/>
          <w:b w:val="false"/>
          <w:bCs w:val="false"/>
          <w:sz w:val="26"/>
          <w:szCs w:val="26"/>
        </w:rPr>
        <w:t xml:space="preserve"> рисунок индивидуального дизайна с использованием символики НАО размером 150х150 мм (±2мм) методом шелкографии, цвет нанесения (синий) 1+1 на две внешние стороны пакета (допускаются оттенки синего)</w:t>
      </w:r>
    </w:p>
    <w:p>
      <w:pPr>
        <w:pStyle w:val="Normal"/>
        <w:ind w:firstLine="540"/>
        <w:jc w:val="both"/>
        <w:rPr/>
      </w:pPr>
      <w:r>
        <w:rPr>
          <w:sz w:val="26"/>
          <w:szCs w:val="26"/>
        </w:rPr>
        <w:t xml:space="preserve">Частью 4 статьи 67 Закона о контрактной системе определено, что участник электронного аукциона не допускается к участию в нем в случае: 1) непредоставления информации, предусмотренной </w:t>
      </w:r>
      <w:hyperlink r:id="rId10">
        <w:r>
          <w:rPr>
            <w:rStyle w:val="Style13"/>
            <w:color w:val="0000FF"/>
            <w:sz w:val="26"/>
            <w:szCs w:val="26"/>
          </w:rPr>
          <w:t>частью 3 статьи 66</w:t>
        </w:r>
      </w:hyperlink>
      <w:r>
        <w:rPr>
          <w:sz w:val="26"/>
          <w:szCs w:val="26"/>
        </w:rPr>
        <w:t xml:space="preserve"> настоящего закона, или предоставления недостоверной информации; 2) несоответствия информации, предусмотренной </w:t>
      </w:r>
      <w:hyperlink r:id="rId11">
        <w:r>
          <w:rPr>
            <w:rStyle w:val="Style13"/>
            <w:color w:val="0000FF"/>
            <w:sz w:val="26"/>
            <w:szCs w:val="26"/>
          </w:rPr>
          <w:t>частью 3 статьи 66</w:t>
        </w:r>
      </w:hyperlink>
      <w:r>
        <w:rPr>
          <w:sz w:val="26"/>
          <w:szCs w:val="26"/>
        </w:rPr>
        <w:t xml:space="preserve"> настоящего закона, требованиям документации о таком аукционе.</w:t>
      </w:r>
    </w:p>
    <w:p>
      <w:pPr>
        <w:pStyle w:val="Normal"/>
        <w:ind w:firstLine="540"/>
        <w:jc w:val="both"/>
        <w:rPr/>
      </w:pPr>
      <w:r>
        <w:rPr>
          <w:rFonts w:eastAsia="Times New Roman" w:cs="Times New Roman"/>
          <w:color w:val="000000"/>
          <w:spacing w:val="-1"/>
          <w:sz w:val="26"/>
          <w:szCs w:val="26"/>
          <w:lang w:eastAsia="ru-RU"/>
        </w:rPr>
        <w:t xml:space="preserve">Согласно части 5 статьи 67 Закона о контрактной системе отказ в допуске к участию в электронном аукционе по основаниям, не предусмотренным </w:t>
      </w:r>
      <w:hyperlink r:id="rId12">
        <w:r>
          <w:rPr>
            <w:rStyle w:val="Style13"/>
            <w:rFonts w:eastAsia="Times New Roman" w:cs="Times New Roman"/>
            <w:color w:val="0000FF"/>
            <w:spacing w:val="-1"/>
            <w:sz w:val="26"/>
            <w:szCs w:val="26"/>
            <w:lang w:eastAsia="ru-RU"/>
          </w:rPr>
          <w:t>частью 4</w:t>
        </w:r>
      </w:hyperlink>
      <w:r>
        <w:rPr>
          <w:rFonts w:eastAsia="Times New Roman" w:cs="Times New Roman"/>
          <w:color w:val="000000"/>
          <w:spacing w:val="-1"/>
          <w:sz w:val="26"/>
          <w:szCs w:val="26"/>
          <w:lang w:eastAsia="ru-RU"/>
        </w:rPr>
        <w:t xml:space="preserve"> настоящей статьи, не допускается.</w:t>
      </w:r>
    </w:p>
    <w:p>
      <w:pPr>
        <w:pStyle w:val="Normal"/>
        <w:ind w:firstLine="540"/>
        <w:jc w:val="both"/>
        <w:rPr>
          <w:sz w:val="26"/>
          <w:szCs w:val="26"/>
        </w:rPr>
      </w:pPr>
      <w:r>
        <w:rPr>
          <w:rFonts w:eastAsia="Times New Roman" w:cs="Times New Roman"/>
          <w:color w:val="000000"/>
          <w:spacing w:val="-1"/>
          <w:sz w:val="26"/>
          <w:szCs w:val="26"/>
          <w:lang w:eastAsia="ru-RU"/>
        </w:rPr>
        <w:t>При рассмотрении жалобы и проведении внеплановой проверки, Комиссия Ненецкого УФАС установила, что Заявителем в заявке с порядковым № 2, а также в заявке с порядковым № 5, не указаны конкретные показатели Товара  соответствующие значениям, установленным документацией о таком аукционе по позициям: стакан и подстаканник.</w:t>
      </w:r>
    </w:p>
    <w:p>
      <w:pPr>
        <w:pStyle w:val="Normal"/>
        <w:jc w:val="both"/>
        <w:rPr>
          <w:sz w:val="26"/>
          <w:szCs w:val="26"/>
        </w:rPr>
      </w:pPr>
      <w:r>
        <w:rPr>
          <w:sz w:val="26"/>
          <w:szCs w:val="26"/>
        </w:rPr>
        <w:tab/>
        <w:t xml:space="preserve">Комиссия считает, что согласно </w:t>
      </w:r>
      <w:r>
        <w:rPr>
          <w:b w:val="false"/>
          <w:bCs w:val="false"/>
          <w:sz w:val="26"/>
          <w:szCs w:val="26"/>
        </w:rPr>
        <w:t xml:space="preserve">Информационной  карты аукциона установлены Требования к содержанию и составу заявки, а именно </w:t>
      </w:r>
      <w:r>
        <w:rPr>
          <w:b/>
          <w:bCs w:val="false"/>
          <w:sz w:val="26"/>
          <w:szCs w:val="26"/>
        </w:rPr>
        <w:t>Первая часть заявки на участие в аукционе должна содержать следующие сведения:</w:t>
      </w:r>
    </w:p>
    <w:p>
      <w:pPr>
        <w:pStyle w:val="Normal"/>
        <w:ind w:firstLine="540"/>
        <w:jc w:val="both"/>
        <w:rPr>
          <w:sz w:val="26"/>
          <w:szCs w:val="26"/>
        </w:rPr>
      </w:pPr>
      <w:r>
        <w:rPr>
          <w:sz w:val="26"/>
          <w:szCs w:val="2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pPr>
        <w:pStyle w:val="Normal"/>
        <w:numPr>
          <w:ilvl w:val="0"/>
          <w:numId w:val="0"/>
        </w:numPr>
        <w:ind w:firstLine="540"/>
        <w:jc w:val="both"/>
        <w:outlineLvl w:val="1"/>
        <w:rPr>
          <w:sz w:val="26"/>
          <w:szCs w:val="26"/>
        </w:rPr>
      </w:pPr>
      <w:r>
        <w:rPr>
          <w:sz w:val="26"/>
          <w:szCs w:val="26"/>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pPr>
        <w:pStyle w:val="Normal"/>
        <w:numPr>
          <w:ilvl w:val="0"/>
          <w:numId w:val="0"/>
        </w:numPr>
        <w:ind w:firstLine="540"/>
        <w:jc w:val="both"/>
        <w:outlineLvl w:val="1"/>
        <w:rPr>
          <w:sz w:val="26"/>
          <w:szCs w:val="26"/>
        </w:rPr>
      </w:pPr>
      <w:r>
        <w:rPr>
          <w:sz w:val="26"/>
          <w:szCs w:val="26"/>
          <w:lang w:val="ru-RU"/>
        </w:rPr>
        <w:t>Таким образом, аукционной документацией установлено требование об отражении в первой части заявки конкретных показателей товара, соответствующих значениям, установленным документацией об аукционе.</w:t>
      </w:r>
    </w:p>
    <w:p>
      <w:pPr>
        <w:pStyle w:val="Normal"/>
        <w:ind w:firstLine="540"/>
        <w:jc w:val="both"/>
        <w:rPr>
          <w:rFonts w:ascii="Times New Roman" w:hAnsi="Times New Roman"/>
          <w:sz w:val="26"/>
          <w:szCs w:val="26"/>
        </w:rPr>
      </w:pPr>
      <w:r>
        <w:rPr>
          <w:sz w:val="26"/>
          <w:szCs w:val="26"/>
          <w:lang w:val="ru-RU"/>
        </w:rPr>
        <w:t>Учитывая изложенное, Заявителем при подаче первой части заявки на участие в аукционе при указании поставляемого товара в обязательном порядке должны быть указаны конкретные показатели (точные характеристики поставляемого товара), соответствующие значениям, установленным документацией об электронном аукционе.</w:t>
      </w:r>
    </w:p>
    <w:p>
      <w:pPr>
        <w:pStyle w:val="Normal"/>
        <w:ind w:firstLine="540"/>
        <w:jc w:val="both"/>
        <w:rPr>
          <w:sz w:val="26"/>
          <w:szCs w:val="26"/>
        </w:rPr>
      </w:pPr>
      <w:r>
        <w:rPr>
          <w:sz w:val="26"/>
          <w:szCs w:val="26"/>
          <w:lang w:val="ru-RU"/>
        </w:rPr>
        <w:t xml:space="preserve">Довод Заявителя о том, что Заказчиком в инструкции по заполнению заявки на участие в электронном аукционе не указан порядок формирования заявки на участие в аукционе, в части понимания значений "-" не подтверждается, так как в </w:t>
      </w:r>
      <w:r>
        <w:rPr>
          <w:b w:val="false"/>
          <w:bCs w:val="false"/>
          <w:sz w:val="26"/>
          <w:szCs w:val="26"/>
          <w:lang w:val="ru-RU"/>
        </w:rPr>
        <w:t xml:space="preserve">Информационной  карте аукциона в пункте </w:t>
      </w:r>
      <w:r>
        <w:rPr>
          <w:b/>
          <w:bCs w:val="false"/>
          <w:sz w:val="26"/>
          <w:szCs w:val="26"/>
          <w:lang w:val="ru-RU"/>
        </w:rPr>
        <w:t xml:space="preserve">Требования к содержанию и составу заявки </w:t>
      </w:r>
      <w:r>
        <w:rPr>
          <w:b w:val="false"/>
          <w:bCs w:val="false"/>
          <w:sz w:val="26"/>
          <w:szCs w:val="26"/>
          <w:lang w:val="ru-RU"/>
        </w:rPr>
        <w:t>установлено, что конкретные показатели</w:t>
      </w:r>
      <w:r>
        <w:rPr>
          <w:sz w:val="26"/>
          <w:szCs w:val="26"/>
          <w:lang w:val="ru-RU"/>
        </w:rPr>
        <w:t xml:space="preserve"> не должны содержать отклонения и диапазоны, если данные отклонения и диапазоны неустановлены производителем </w:t>
      </w:r>
      <w:r>
        <w:rPr>
          <w:sz w:val="26"/>
          <w:szCs w:val="26"/>
          <w:u w:val="single"/>
          <w:lang w:val="ru-RU"/>
        </w:rPr>
        <w:t>(</w:t>
      </w:r>
      <w:r>
        <w:rPr>
          <w:sz w:val="26"/>
          <w:szCs w:val="26"/>
          <w:lang w:val="ru-RU"/>
        </w:rPr>
        <w:t>участник может декларировать «от производителя», в последствии должен подтвердить документально при поставке товара (паспорт изделия, сертификат и т.д.)).</w:t>
      </w:r>
    </w:p>
    <w:p>
      <w:pPr>
        <w:pStyle w:val="Normal"/>
        <w:ind w:firstLine="540"/>
        <w:jc w:val="both"/>
        <w:rPr>
          <w:sz w:val="26"/>
          <w:szCs w:val="26"/>
        </w:rPr>
      </w:pPr>
      <w:r>
        <w:rPr>
          <w:sz w:val="26"/>
          <w:szCs w:val="26"/>
          <w:lang w:val="ru-RU"/>
        </w:rPr>
        <w:t>Согласно части 3 статьи 65 Закона о контрактной системе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pPr>
        <w:pStyle w:val="Normal"/>
        <w:ind w:firstLine="540"/>
        <w:jc w:val="both"/>
        <w:rPr>
          <w:sz w:val="26"/>
          <w:szCs w:val="26"/>
        </w:rPr>
      </w:pPr>
      <w:r>
        <w:rPr>
          <w:sz w:val="26"/>
          <w:szCs w:val="26"/>
          <w:lang w:val="ru-RU"/>
        </w:rPr>
        <w:t xml:space="preserve">В соответствии с частью 4 статьи 65 Закона о контрактной системе в течение двух дней с даты поступления от оператора электронной площадки указанного в </w:t>
      </w:r>
      <w:r>
        <w:rPr>
          <w:color w:val="0000FF"/>
          <w:sz w:val="26"/>
          <w:szCs w:val="26"/>
        </w:rPr>
        <w:t>части 3</w:t>
      </w:r>
      <w:r>
        <w:rPr>
          <w:sz w:val="26"/>
          <w:szCs w:val="26"/>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pPr>
        <w:pStyle w:val="Normal"/>
        <w:ind w:firstLine="540"/>
        <w:jc w:val="both"/>
        <w:rPr>
          <w:sz w:val="26"/>
          <w:szCs w:val="26"/>
        </w:rPr>
      </w:pPr>
      <w:r>
        <w:rPr>
          <w:sz w:val="26"/>
          <w:szCs w:val="26"/>
        </w:rPr>
        <w:t>Таким образом Заявитель был в праве подать запрос о даче разъяснений положений документации об электронном аукционе, но не воспользовался своим правом.</w:t>
      </w:r>
    </w:p>
    <w:p>
      <w:pPr>
        <w:pStyle w:val="Normal"/>
        <w:ind w:firstLine="540"/>
        <w:jc w:val="both"/>
        <w:rPr>
          <w:rFonts w:ascii="Times New Roman" w:hAnsi="Times New Roman"/>
          <w:sz w:val="26"/>
          <w:szCs w:val="26"/>
        </w:rPr>
      </w:pPr>
      <w:r>
        <w:rPr>
          <w:rFonts w:eastAsia="Times New Roman" w:cs="Times New Roman"/>
          <w:color w:val="000000"/>
          <w:spacing w:val="-1"/>
          <w:sz w:val="26"/>
          <w:szCs w:val="26"/>
          <w:lang w:val="ru-RU" w:eastAsia="ru-RU"/>
        </w:rPr>
        <w:t>Так же Заявитель не представил доказательств отсутствия возможности указать конкретные показатели в отношении товара: стакан; подстаканник.</w:t>
      </w:r>
    </w:p>
    <w:p>
      <w:pPr>
        <w:pStyle w:val="Normal"/>
        <w:ind w:firstLine="540"/>
        <w:jc w:val="both"/>
        <w:rPr>
          <w:b/>
          <w:b/>
          <w:bCs/>
          <w:lang w:val="ru-RU"/>
        </w:rPr>
      </w:pPr>
      <w:r>
        <w:rPr>
          <w:b/>
          <w:bCs/>
          <w:lang w:val="ru-RU"/>
        </w:rPr>
      </w:r>
    </w:p>
    <w:p>
      <w:pPr>
        <w:pStyle w:val="Normal"/>
        <w:ind w:firstLine="540"/>
        <w:jc w:val="both"/>
        <w:rPr>
          <w:sz w:val="26"/>
          <w:szCs w:val="26"/>
        </w:rPr>
      </w:pPr>
      <w:r>
        <w:rPr>
          <w:b w:val="false"/>
          <w:bCs w:val="false"/>
          <w:sz w:val="26"/>
          <w:szCs w:val="26"/>
          <w:lang w:val="ru-RU"/>
        </w:rPr>
        <w:t xml:space="preserve">При проведении Комиссией Ненецкого УФАС России внеплановой проверки установлено, что аукционная комиссия Заказчика отказала в допуске на участие в аукционе заявкам с порядковыми номерами № 2, № 5 (протокол от 05.07.2016            № 0384200000116000087-1 рассмотрения первых частей заявок на участие в электронном аукционе </w:t>
      </w:r>
      <w:r>
        <w:rPr>
          <w:b w:val="false"/>
          <w:sz w:val="26"/>
          <w:szCs w:val="26"/>
        </w:rPr>
        <w:t xml:space="preserve">на право заключение государственного контракта </w:t>
      </w:r>
      <w:r>
        <w:rPr>
          <w:b w:val="false"/>
          <w:bCs w:val="false"/>
          <w:sz w:val="26"/>
          <w:szCs w:val="26"/>
          <w:lang w:val="ru-RU"/>
        </w:rPr>
        <w:t>на приобретение чайных наборов с символикой).</w:t>
      </w:r>
    </w:p>
    <w:p>
      <w:pPr>
        <w:pStyle w:val="Normal"/>
        <w:ind w:firstLine="540"/>
        <w:jc w:val="both"/>
        <w:rPr>
          <w:sz w:val="26"/>
          <w:szCs w:val="26"/>
        </w:rPr>
      </w:pPr>
      <w:r>
        <w:rPr>
          <w:b w:val="false"/>
          <w:bCs w:val="false"/>
          <w:sz w:val="26"/>
          <w:szCs w:val="26"/>
          <w:lang w:val="ru-RU"/>
        </w:rPr>
        <w:t xml:space="preserve">Согласно пункта 2 части 6 статьи 67 Закона о контрактной системе  аукционная комиссия </w:t>
      </w:r>
      <w:r>
        <w:rPr>
          <w:b/>
          <w:bCs/>
          <w:sz w:val="26"/>
          <w:szCs w:val="26"/>
          <w:lang w:val="ru-RU"/>
        </w:rPr>
        <w:t>оформляет протокол рассмотрения заявок</w:t>
      </w:r>
      <w:r>
        <w:rPr>
          <w:b w:val="false"/>
          <w:bCs w:val="false"/>
          <w:sz w:val="26"/>
          <w:szCs w:val="26"/>
          <w:lang w:val="ru-RU"/>
        </w:rPr>
        <w:t xml:space="preserve">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w:t>
      </w:r>
      <w:r>
        <w:rPr>
          <w:b/>
          <w:bCs/>
          <w:sz w:val="26"/>
          <w:szCs w:val="26"/>
          <w:lang w:val="ru-RU"/>
        </w:rPr>
        <w:t>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pPr>
        <w:pStyle w:val="Normal"/>
        <w:ind w:firstLine="540"/>
        <w:jc w:val="both"/>
        <w:rPr>
          <w:b w:val="false"/>
          <w:b w:val="false"/>
          <w:bCs w:val="false"/>
          <w:sz w:val="26"/>
          <w:szCs w:val="26"/>
        </w:rPr>
      </w:pPr>
      <w:r>
        <w:rPr>
          <w:b w:val="false"/>
          <w:bCs w:val="false"/>
          <w:sz w:val="26"/>
          <w:szCs w:val="26"/>
          <w:lang w:val="ru-RU"/>
        </w:rPr>
        <w:t xml:space="preserve">В протоколе от 05.07.2016 № 0384200000116000087-1 рассмотрения первых частей заявок на участие в электронном аукционе на право заключение государственного контракта на приобретение чайных наборов с символикой отсутствует  </w:t>
      </w:r>
      <w:r>
        <w:rPr>
          <w:b/>
          <w:bCs/>
          <w:sz w:val="26"/>
          <w:szCs w:val="26"/>
          <w:lang w:val="ru-RU"/>
        </w:rPr>
        <w:t>обоснование этого решения - указание положений заявки на участие в таком аукционе, которые не соответствуют требованиям, установленным документацией о нем.</w:t>
      </w:r>
    </w:p>
    <w:p>
      <w:pPr>
        <w:pStyle w:val="Normal"/>
        <w:ind w:firstLine="540"/>
        <w:jc w:val="both"/>
        <w:rPr>
          <w:sz w:val="26"/>
          <w:szCs w:val="26"/>
        </w:rPr>
      </w:pPr>
      <w:r>
        <w:rPr>
          <w:b w:val="false"/>
          <w:bCs w:val="false"/>
          <w:sz w:val="26"/>
          <w:szCs w:val="26"/>
          <w:lang w:val="ru-RU"/>
        </w:rPr>
        <w:t xml:space="preserve">В ходе рассмотрения дела, представитель заказчик пояснил, что в протоколе указано обоснование принятого решения п. 5.2, п. 5.4 протокола: «Участник в составе первой части заявки не указал конкретные показатели </w:t>
      </w:r>
      <w:bookmarkStart w:id="0" w:name="__DdeLink__334_1257187822"/>
      <w:r>
        <w:rPr>
          <w:b w:val="false"/>
          <w:bCs w:val="false"/>
          <w:sz w:val="26"/>
          <w:szCs w:val="26"/>
          <w:lang w:val="ru-RU"/>
        </w:rPr>
        <w:t>поставляемого Товара, соответствующие значениям, установленным аукционной документацией</w:t>
      </w:r>
      <w:bookmarkEnd w:id="0"/>
      <w:r>
        <w:rPr>
          <w:b w:val="false"/>
          <w:bCs w:val="false"/>
          <w:sz w:val="26"/>
          <w:szCs w:val="26"/>
          <w:lang w:val="ru-RU"/>
        </w:rPr>
        <w:t>».</w:t>
      </w:r>
    </w:p>
    <w:p>
      <w:pPr>
        <w:pStyle w:val="Normal"/>
        <w:ind w:firstLine="540"/>
        <w:jc w:val="both"/>
        <w:rPr>
          <w:sz w:val="26"/>
          <w:szCs w:val="26"/>
        </w:rPr>
      </w:pPr>
      <w:r>
        <w:rPr>
          <w:b w:val="false"/>
          <w:bCs w:val="false"/>
          <w:sz w:val="26"/>
          <w:szCs w:val="26"/>
          <w:lang w:val="ru-RU"/>
        </w:rPr>
        <w:t>Также представителем заказчика пояснено, что отсутствие в протоколе обоснования решения с указанием положений заявки которые не соответствуют требованиям, установленным документацией об аукционе, объясняется большой загруженностью.</w:t>
      </w:r>
    </w:p>
    <w:p>
      <w:pPr>
        <w:pStyle w:val="Normal"/>
        <w:ind w:firstLine="540"/>
        <w:jc w:val="both"/>
        <w:rPr>
          <w:sz w:val="26"/>
          <w:szCs w:val="26"/>
        </w:rPr>
      </w:pPr>
      <w:r>
        <w:rPr>
          <w:b w:val="false"/>
          <w:bCs w:val="false"/>
          <w:sz w:val="26"/>
          <w:szCs w:val="26"/>
          <w:lang w:val="ru-RU"/>
        </w:rPr>
        <w:t>Таким образом, Заказчик отказал в допуске заявкам с порядковыми номерами № 2, № 5 указав, что в заявках полностью отсутствуют конкретные показатели Товара  соответствующие значениям, установленным аукционной документацией.</w:t>
      </w:r>
    </w:p>
    <w:p>
      <w:pPr>
        <w:pStyle w:val="Normal"/>
        <w:ind w:firstLine="540"/>
        <w:jc w:val="both"/>
        <w:rPr>
          <w:sz w:val="26"/>
          <w:szCs w:val="26"/>
        </w:rPr>
      </w:pPr>
      <w:r>
        <w:rPr>
          <w:b w:val="false"/>
          <w:bCs w:val="false"/>
          <w:sz w:val="26"/>
          <w:szCs w:val="26"/>
          <w:lang w:val="ru-RU"/>
        </w:rPr>
        <w:t>Комиссией УФАС установлено, что в пункте 1 первой части заявки Заявителя отсутствуют конкретные показатели, а именно:</w:t>
      </w:r>
    </w:p>
    <w:p>
      <w:pPr>
        <w:pStyle w:val="Normal"/>
        <w:ind w:hanging="0"/>
        <w:jc w:val="both"/>
        <w:rPr>
          <w:sz w:val="26"/>
          <w:szCs w:val="26"/>
        </w:rPr>
      </w:pPr>
      <w:r>
        <w:rPr>
          <w:b/>
          <w:bCs w:val="false"/>
          <w:sz w:val="26"/>
          <w:szCs w:val="26"/>
          <w:lang w:val="ru-RU"/>
        </w:rPr>
        <w:t xml:space="preserve">Стакан: </w:t>
      </w:r>
    </w:p>
    <w:p>
      <w:pPr>
        <w:pStyle w:val="Normal"/>
        <w:spacing w:lineRule="auto" w:line="240" w:before="0" w:after="0"/>
        <w:rPr>
          <w:sz w:val="26"/>
          <w:szCs w:val="26"/>
        </w:rPr>
      </w:pPr>
      <w:r>
        <w:rPr>
          <w:sz w:val="26"/>
          <w:szCs w:val="26"/>
        </w:rPr>
        <w:t>Размер: внутренний диаметр 64-65 мм,</w:t>
      </w:r>
    </w:p>
    <w:p>
      <w:pPr>
        <w:pStyle w:val="Normal"/>
        <w:spacing w:lineRule="auto" w:line="240" w:before="0" w:after="0"/>
        <w:rPr>
          <w:sz w:val="26"/>
          <w:szCs w:val="26"/>
        </w:rPr>
      </w:pPr>
      <w:r>
        <w:rPr>
          <w:b/>
          <w:sz w:val="26"/>
          <w:szCs w:val="26"/>
        </w:rPr>
        <w:t>Подстаканник:</w:t>
      </w:r>
    </w:p>
    <w:p>
      <w:pPr>
        <w:pStyle w:val="Normal"/>
        <w:ind w:hanging="0"/>
        <w:jc w:val="both"/>
        <w:rPr>
          <w:sz w:val="26"/>
          <w:szCs w:val="26"/>
        </w:rPr>
      </w:pPr>
      <w:r>
        <w:rPr>
          <w:b w:val="false"/>
          <w:bCs w:val="false"/>
          <w:sz w:val="26"/>
          <w:szCs w:val="26"/>
          <w:lang w:val="ru-RU"/>
        </w:rPr>
        <w:t xml:space="preserve">Размер: внутренний диаметр 68-69 мм, высота поддона (без ручки) 70-90 мм. </w:t>
      </w:r>
    </w:p>
    <w:p>
      <w:pPr>
        <w:pStyle w:val="Normal"/>
        <w:ind w:hanging="0"/>
        <w:jc w:val="both"/>
        <w:rPr>
          <w:sz w:val="26"/>
          <w:szCs w:val="26"/>
        </w:rPr>
      </w:pPr>
      <w:r>
        <w:rPr>
          <w:b w:val="false"/>
          <w:bCs w:val="false"/>
          <w:sz w:val="26"/>
          <w:szCs w:val="26"/>
          <w:lang w:val="ru-RU"/>
        </w:rPr>
        <w:t>В остальных пунктах заявки Участником указаны конкретные показатели  поставляемого Товара, соответствующие значениям, установленным аукционной документацией.</w:t>
      </w:r>
    </w:p>
    <w:p>
      <w:pPr>
        <w:pStyle w:val="Normal"/>
        <w:ind w:firstLine="540"/>
        <w:jc w:val="both"/>
        <w:rPr/>
      </w:pPr>
      <w:r>
        <w:rPr>
          <w:b w:val="false"/>
          <w:bCs w:val="false"/>
          <w:sz w:val="26"/>
          <w:szCs w:val="26"/>
          <w:lang w:val="ru-RU"/>
        </w:rPr>
        <w:t xml:space="preserve"> </w:t>
      </w:r>
      <w:r>
        <w:rPr>
          <w:b w:val="false"/>
          <w:bCs w:val="false"/>
          <w:sz w:val="26"/>
          <w:szCs w:val="26"/>
          <w:lang w:val="ru-RU"/>
        </w:rPr>
        <w:t>Таким образом, аукционная комиссия Заказчика при оформлении протокола</w:t>
      </w:r>
      <w:r>
        <w:rPr>
          <w:b/>
          <w:bCs/>
          <w:sz w:val="26"/>
          <w:szCs w:val="26"/>
          <w:lang w:val="ru-RU"/>
        </w:rPr>
        <w:t xml:space="preserve"> </w:t>
      </w:r>
      <w:r>
        <w:rPr>
          <w:b w:val="false"/>
          <w:bCs w:val="false"/>
          <w:sz w:val="26"/>
          <w:szCs w:val="26"/>
          <w:lang w:val="ru-RU"/>
        </w:rPr>
        <w:t xml:space="preserve">от 05.07.2016 № 0384200000116000087-1 рассмотрения первых частей заявок на участие в электронном аукционе </w:t>
      </w:r>
      <w:r>
        <w:rPr>
          <w:b w:val="false"/>
          <w:bCs/>
          <w:sz w:val="26"/>
          <w:szCs w:val="26"/>
          <w:lang w:val="ru-RU"/>
        </w:rPr>
        <w:t xml:space="preserve">на право заключение государственного контракта </w:t>
      </w:r>
      <w:r>
        <w:rPr>
          <w:b w:val="false"/>
          <w:bCs w:val="false"/>
          <w:sz w:val="26"/>
          <w:szCs w:val="26"/>
          <w:lang w:val="ru-RU"/>
        </w:rPr>
        <w:t xml:space="preserve">на приобретение чайных наборов с символикой нарушила пункт 2 части 6 статьи 67 Закона о контрактной системе, а именно </w:t>
      </w:r>
      <w:r>
        <w:rPr>
          <w:b/>
          <w:bCs/>
          <w:sz w:val="26"/>
          <w:szCs w:val="26"/>
          <w:lang w:val="ru-RU"/>
        </w:rPr>
        <w:t>отсутствует</w:t>
      </w:r>
      <w:r>
        <w:rPr>
          <w:b w:val="false"/>
          <w:bCs w:val="false"/>
          <w:sz w:val="26"/>
          <w:szCs w:val="26"/>
          <w:lang w:val="ru-RU"/>
        </w:rPr>
        <w:t xml:space="preserve">  </w:t>
      </w:r>
      <w:r>
        <w:rPr>
          <w:b/>
          <w:bCs/>
          <w:sz w:val="26"/>
          <w:szCs w:val="26"/>
          <w:lang w:val="ru-RU"/>
        </w:rPr>
        <w:t>обоснование принятого решения - указание положений заявки на участие в таком аукционе, которые не соответствуют требованиям, установленным документацией о нем.</w:t>
      </w:r>
    </w:p>
    <w:p>
      <w:pPr>
        <w:pStyle w:val="Normal"/>
        <w:ind w:firstLine="540"/>
        <w:jc w:val="both"/>
        <w:rPr>
          <w:sz w:val="26"/>
          <w:szCs w:val="26"/>
          <w:lang w:val="ru-RU"/>
        </w:rPr>
      </w:pPr>
      <w:r>
        <w:rPr>
          <w:sz w:val="26"/>
          <w:szCs w:val="26"/>
          <w:lang w:val="ru-RU"/>
        </w:rPr>
      </w:r>
    </w:p>
    <w:p>
      <w:pPr>
        <w:pStyle w:val="Normal"/>
        <w:ind w:left="0" w:right="0" w:firstLine="540"/>
        <w:jc w:val="both"/>
        <w:rPr>
          <w:sz w:val="26"/>
          <w:szCs w:val="26"/>
        </w:rPr>
      </w:pPr>
      <w:r>
        <w:rPr>
          <w:sz w:val="26"/>
          <w:szCs w:val="26"/>
        </w:rPr>
        <w:t>На основании изложенного выше, руководствуясь частью 8 статьи 106 Закона о контрактной системе, Комиссия,</w:t>
      </w:r>
    </w:p>
    <w:p>
      <w:pPr>
        <w:pStyle w:val="Normal"/>
        <w:ind w:left="0" w:right="0" w:firstLine="540"/>
        <w:jc w:val="center"/>
        <w:rPr>
          <w:sz w:val="26"/>
          <w:szCs w:val="26"/>
        </w:rPr>
      </w:pPr>
      <w:r>
        <w:rPr>
          <w:sz w:val="26"/>
          <w:szCs w:val="26"/>
        </w:rPr>
        <w:t>РЕШИЛА:</w:t>
      </w:r>
    </w:p>
    <w:p>
      <w:pPr>
        <w:pStyle w:val="Normal"/>
        <w:ind w:left="0" w:right="0" w:hanging="0"/>
        <w:jc w:val="center"/>
        <w:rPr>
          <w:sz w:val="16"/>
          <w:szCs w:val="16"/>
        </w:rPr>
      </w:pPr>
      <w:r>
        <w:rPr>
          <w:sz w:val="16"/>
          <w:szCs w:val="16"/>
        </w:rPr>
      </w:r>
    </w:p>
    <w:p>
      <w:pPr>
        <w:pStyle w:val="ConsPlusNormal"/>
        <w:numPr>
          <w:ilvl w:val="0"/>
          <w:numId w:val="3"/>
        </w:numPr>
        <w:tabs>
          <w:tab w:val="left" w:pos="0" w:leader="none"/>
        </w:tabs>
        <w:ind w:left="0" w:right="0" w:hanging="0"/>
        <w:jc w:val="both"/>
        <w:rPr/>
      </w:pPr>
      <w:r>
        <w:rPr>
          <w:rFonts w:cs="Times New Roman" w:ascii="Times New Roman" w:hAnsi="Times New Roman"/>
          <w:sz w:val="26"/>
          <w:szCs w:val="26"/>
        </w:rPr>
        <w:t>Признать жалобу заявителя обоснованной в части нарушения оформления протокола рассмотрения заявок (</w:t>
      </w:r>
      <w:r>
        <w:rPr>
          <w:rFonts w:cs="Times New Roman" w:ascii="Times New Roman" w:hAnsi="Times New Roman"/>
          <w:sz w:val="26"/>
          <w:szCs w:val="26"/>
          <w:lang w:val="ru-RU"/>
        </w:rPr>
        <w:t xml:space="preserve">отсутствие  </w:t>
      </w:r>
      <w:r>
        <w:rPr>
          <w:rFonts w:cs="Times New Roman" w:ascii="Times New Roman" w:hAnsi="Times New Roman"/>
          <w:b w:val="false"/>
          <w:bCs w:val="false"/>
          <w:sz w:val="26"/>
          <w:szCs w:val="26"/>
          <w:lang w:val="ru-RU"/>
        </w:rPr>
        <w:t>обоснования принятого решения - указание положений заявки на участие в таком аукционе, которые не соответствуют требованиям, установленным документацией о нем)</w:t>
      </w:r>
      <w:r>
        <w:rPr>
          <w:rFonts w:cs="Times New Roman" w:ascii="Times New Roman" w:hAnsi="Times New Roman"/>
          <w:sz w:val="26"/>
          <w:szCs w:val="26"/>
        </w:rPr>
        <w:t>.</w:t>
      </w:r>
    </w:p>
    <w:p>
      <w:pPr>
        <w:pStyle w:val="ConsPlusNormal"/>
        <w:numPr>
          <w:ilvl w:val="0"/>
          <w:numId w:val="3"/>
        </w:numPr>
        <w:tabs>
          <w:tab w:val="left" w:pos="0" w:leader="none"/>
        </w:tabs>
        <w:ind w:left="0" w:right="0" w:hanging="0"/>
        <w:jc w:val="both"/>
        <w:rPr/>
      </w:pPr>
      <w:r>
        <w:rPr>
          <w:rFonts w:cs="Times New Roman" w:ascii="Times New Roman" w:hAnsi="Times New Roman"/>
          <w:sz w:val="26"/>
          <w:szCs w:val="26"/>
        </w:rPr>
        <w:t xml:space="preserve">Признать в действиях аукционной комиссии заказчика нарушение </w:t>
      </w:r>
      <w:r>
        <w:rPr>
          <w:rFonts w:cs="Times New Roman" w:ascii="Times New Roman" w:hAnsi="Times New Roman"/>
          <w:b w:val="false"/>
          <w:bCs w:val="false"/>
          <w:sz w:val="26"/>
          <w:szCs w:val="26"/>
          <w:lang w:val="ru-RU"/>
        </w:rPr>
        <w:t>пункта 2 части 6 статьи 67</w:t>
      </w:r>
      <w:r>
        <w:rPr>
          <w:rFonts w:cs="Times New Roman" w:ascii="Times New Roman" w:hAnsi="Times New Roman"/>
          <w:sz w:val="26"/>
          <w:szCs w:val="26"/>
        </w:rPr>
        <w:t xml:space="preserve"> Закона о контрактной системе, выразившееся в нарушение оформления  </w:t>
      </w:r>
      <w:r>
        <w:rPr>
          <w:rFonts w:cs="Times New Roman" w:ascii="Times New Roman" w:hAnsi="Times New Roman"/>
          <w:b w:val="false"/>
          <w:bCs w:val="false"/>
          <w:sz w:val="26"/>
          <w:szCs w:val="26"/>
          <w:lang w:val="ru-RU"/>
        </w:rPr>
        <w:t>протокола рассмотрения заявок</w:t>
      </w:r>
      <w:r>
        <w:rPr>
          <w:rFonts w:cs="Times New Roman" w:ascii="Times New Roman" w:hAnsi="Times New Roman"/>
          <w:sz w:val="26"/>
          <w:szCs w:val="26"/>
          <w:lang w:val="ru-RU"/>
        </w:rPr>
        <w:t xml:space="preserve"> на участие в аукционе, а именно  в отсутствии  </w:t>
      </w:r>
      <w:r>
        <w:rPr>
          <w:rFonts w:cs="Times New Roman" w:ascii="Times New Roman" w:hAnsi="Times New Roman"/>
          <w:b w:val="false"/>
          <w:bCs w:val="false"/>
          <w:sz w:val="26"/>
          <w:szCs w:val="26"/>
          <w:lang w:val="ru-RU"/>
        </w:rPr>
        <w:t>обоснования принятого решения - указанием положений заявки на участие в таком аукционе, которые не соответствуют требованиям, установленным документацией о нем.</w:t>
      </w:r>
    </w:p>
    <w:p>
      <w:pPr>
        <w:pStyle w:val="ConsPlusNormal"/>
        <w:numPr>
          <w:ilvl w:val="0"/>
          <w:numId w:val="3"/>
        </w:numPr>
        <w:tabs>
          <w:tab w:val="left" w:pos="0" w:leader="none"/>
        </w:tabs>
        <w:ind w:left="0" w:right="0" w:hanging="0"/>
        <w:jc w:val="both"/>
        <w:rPr>
          <w:rFonts w:ascii="Times New Roman" w:hAnsi="Times New Roman"/>
          <w:sz w:val="26"/>
          <w:szCs w:val="26"/>
        </w:rPr>
      </w:pPr>
      <w:r>
        <w:rPr>
          <w:rFonts w:cs="Times New Roman" w:ascii="Times New Roman" w:hAnsi="Times New Roman"/>
          <w:sz w:val="26"/>
          <w:szCs w:val="26"/>
        </w:rPr>
        <w:t>В связи с тем, что выявленное нарушение не повлияло на результаты закупки, предписание об устранении нарушений требований законодательства Российской Федерации о контрактной системе в сфере закупок не выдавать.</w:t>
      </w:r>
    </w:p>
    <w:p>
      <w:pPr>
        <w:pStyle w:val="ConsPlusNormal"/>
        <w:numPr>
          <w:ilvl w:val="0"/>
          <w:numId w:val="3"/>
        </w:numPr>
        <w:tabs>
          <w:tab w:val="left" w:pos="0" w:leader="none"/>
        </w:tabs>
        <w:ind w:left="0" w:right="0" w:hanging="0"/>
        <w:jc w:val="both"/>
        <w:rPr>
          <w:rFonts w:ascii="Times New Roman" w:hAnsi="Times New Roman"/>
          <w:sz w:val="26"/>
          <w:szCs w:val="26"/>
        </w:rPr>
      </w:pPr>
      <w:bookmarkStart w:id="1" w:name="__DdeLink__6899_1097077529"/>
      <w:r>
        <w:rPr>
          <w:rFonts w:cs="Times New Roman" w:ascii="Times New Roman" w:hAnsi="Times New Roman"/>
          <w:sz w:val="26"/>
          <w:szCs w:val="26"/>
        </w:rPr>
        <w:t xml:space="preserve">Требование о приостановке определения поставщика (подрядчика, исполнителя) в части подписания контракта, установленное Управлением на основании </w:t>
      </w:r>
      <w:r>
        <w:rPr>
          <w:rFonts w:ascii="Times New Roman" w:hAnsi="Times New Roman"/>
          <w:color w:val="0000FF"/>
          <w:sz w:val="26"/>
          <w:szCs w:val="26"/>
        </w:rPr>
        <w:t>части 7 статьи 106</w:t>
      </w:r>
      <w:r>
        <w:rPr>
          <w:rFonts w:ascii="Times New Roman" w:hAnsi="Times New Roman"/>
          <w:sz w:val="26"/>
          <w:szCs w:val="26"/>
        </w:rPr>
        <w:t xml:space="preserve"> Закона о контрактной системе</w:t>
      </w:r>
      <w:bookmarkEnd w:id="1"/>
      <w:r>
        <w:rPr>
          <w:rFonts w:ascii="Times New Roman" w:hAnsi="Times New Roman"/>
          <w:sz w:val="26"/>
          <w:szCs w:val="26"/>
        </w:rPr>
        <w:t>, отменить.</w:t>
      </w:r>
    </w:p>
    <w:p>
      <w:pPr>
        <w:pStyle w:val="ConsPlusNormal"/>
        <w:numPr>
          <w:ilvl w:val="0"/>
          <w:numId w:val="3"/>
        </w:numPr>
        <w:tabs>
          <w:tab w:val="left" w:pos="0" w:leader="none"/>
        </w:tabs>
        <w:ind w:left="0" w:right="0" w:hanging="0"/>
        <w:jc w:val="both"/>
        <w:rPr>
          <w:rFonts w:ascii="Times New Roman" w:hAnsi="Times New Roman"/>
          <w:sz w:val="26"/>
          <w:szCs w:val="26"/>
        </w:rPr>
      </w:pPr>
      <w:r>
        <w:rPr>
          <w:rFonts w:cs="Times New Roman" w:ascii="Times New Roman" w:hAnsi="Times New Roman"/>
          <w:sz w:val="26"/>
          <w:szCs w:val="26"/>
        </w:rPr>
        <w:t>Передать материалы дела уполномоченному должностному лицу Ненецкого УФАС России для рассмотрения вопроса о возбуждении дел об административных правонарушениях.</w:t>
      </w:r>
    </w:p>
    <w:p>
      <w:pPr>
        <w:pStyle w:val="ConsPlusNormal"/>
        <w:ind w:firstLine="540"/>
        <w:jc w:val="both"/>
        <w:rPr>
          <w:rFonts w:ascii="Times New Roman" w:hAnsi="Times New Roman" w:cs="Times New Roman"/>
          <w:i/>
          <w:i/>
          <w:sz w:val="20"/>
          <w:szCs w:val="20"/>
        </w:rPr>
      </w:pPr>
      <w:r>
        <w:rPr>
          <w:rFonts w:cs="Times New Roman" w:ascii="Times New Roman" w:hAnsi="Times New Roman"/>
          <w:i/>
          <w:sz w:val="20"/>
          <w:szCs w:val="20"/>
        </w:rPr>
      </w:r>
    </w:p>
    <w:p>
      <w:pPr>
        <w:pStyle w:val="ConsPlusNormal"/>
        <w:ind w:firstLine="540"/>
        <w:jc w:val="both"/>
        <w:rPr/>
      </w:pPr>
      <w:r>
        <w:rPr>
          <w:rFonts w:cs="Times New Roman" w:ascii="Times New Roman" w:hAnsi="Times New Roman"/>
          <w:i/>
          <w:sz w:val="26"/>
          <w:szCs w:val="26"/>
        </w:rPr>
        <w:t xml:space="preserve">Настоящее решение может быть обжаловано в Арбитражный суд Архангельской области в течение трех месяцев со дня его принятия. </w:t>
      </w:r>
    </w:p>
    <w:p>
      <w:pPr>
        <w:pStyle w:val="Normal"/>
        <w:rPr>
          <w:sz w:val="26"/>
          <w:szCs w:val="26"/>
        </w:rPr>
      </w:pPr>
      <w:r>
        <w:rPr>
          <w:sz w:val="26"/>
          <w:szCs w:val="26"/>
        </w:rPr>
      </w:r>
    </w:p>
    <w:p>
      <w:pPr>
        <w:pStyle w:val="Normal"/>
        <w:rPr/>
      </w:pPr>
      <w:r>
        <w:rPr>
          <w:sz w:val="26"/>
          <w:szCs w:val="26"/>
        </w:rPr>
        <w:t xml:space="preserve">Председатель Комиссии:                                                               </w:t>
      </w:r>
    </w:p>
    <w:p>
      <w:pPr>
        <w:pStyle w:val="Normal"/>
        <w:rPr>
          <w:sz w:val="26"/>
          <w:szCs w:val="26"/>
        </w:rPr>
      </w:pPr>
      <w:r>
        <w:rPr>
          <w:sz w:val="26"/>
          <w:szCs w:val="26"/>
        </w:rPr>
      </w:r>
    </w:p>
    <w:p>
      <w:pPr>
        <w:pStyle w:val="Normal"/>
        <w:tabs>
          <w:tab w:val="left" w:pos="1756" w:leader="none"/>
        </w:tabs>
        <w:rPr/>
      </w:pPr>
      <w:r>
        <w:rPr>
          <w:sz w:val="26"/>
          <w:szCs w:val="26"/>
        </w:rPr>
        <w:t xml:space="preserve">Члены Комиссии:                                                                           </w:t>
      </w:r>
    </w:p>
    <w:p>
      <w:pPr>
        <w:pStyle w:val="Normal"/>
        <w:tabs>
          <w:tab w:val="left" w:pos="1756" w:leader="none"/>
        </w:tabs>
        <w:ind w:left="0" w:right="0" w:firstLine="540"/>
        <w:jc w:val="center"/>
        <w:rPr/>
      </w:pPr>
      <w:r>
        <w:rPr>
          <w:sz w:val="26"/>
          <w:szCs w:val="26"/>
        </w:rPr>
        <w:t xml:space="preserve">                                                                                    </w:t>
      </w:r>
    </w:p>
    <w:sectPr>
      <w:headerReference w:type="default" r:id="rId13"/>
      <w:footerReference w:type="default" r:id="rId14"/>
      <w:type w:val="nextPage"/>
      <w:pgSz w:w="11906" w:h="16838"/>
      <w:pgMar w:left="1701" w:right="567" w:header="709" w:top="851" w:footer="709"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rPr>
        <w:sz w:val="26"/>
        <w:szCs w:val="26"/>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4"/>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0"/>
      <w:szCs w:val="20"/>
      <w:lang w:val="ru-RU" w:eastAsia="zh-CN" w:bidi="ar-SA"/>
    </w:rPr>
  </w:style>
  <w:style w:type="paragraph" w:styleId="2">
    <w:name w:val="Heading 2"/>
    <w:basedOn w:val="Normal"/>
    <w:qFormat/>
    <w:pPr>
      <w:spacing w:beforeAutospacing="1" w:afterAutospacing="1"/>
      <w:outlineLvl w:val="1"/>
    </w:pPr>
    <w:rPr>
      <w:b/>
      <w:bCs/>
      <w:sz w:val="36"/>
      <w:szCs w:val="36"/>
    </w:rPr>
  </w:style>
  <w:style w:type="paragraph" w:styleId="3">
    <w:name w:val="Heading 3"/>
    <w:basedOn w:val="Normal"/>
    <w:next w:val="Normal"/>
    <w:qFormat/>
    <w:pPr>
      <w:keepNext/>
      <w:numPr>
        <w:ilvl w:val="2"/>
        <w:numId w:val="1"/>
      </w:numPr>
      <w:jc w:val="center"/>
      <w:outlineLvl w:val="2"/>
      <w:outlineLvl w:val="2"/>
    </w:pPr>
    <w:rPr>
      <w:b/>
      <w:sz w:val="28"/>
    </w:rPr>
  </w:style>
  <w:style w:type="character" w:styleId="WW8Num1z0">
    <w:name w:val="WW8Num1z0"/>
    <w:qFormat/>
    <w:rPr>
      <w:rFonts w:ascii="Times New Roman" w:hAnsi="Times New Roman" w:eastAsia="Calibri" w:cs="Times New Roman"/>
      <w:sz w:val="26"/>
      <w:szCs w:val="2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Style13">
    <w:name w:val="Интернет-ссылка"/>
    <w:rPr>
      <w:rFonts w:cs="Times New Roman"/>
      <w:color w:val="0000FF"/>
      <w:u w:val="single"/>
    </w:rPr>
  </w:style>
  <w:style w:type="character" w:styleId="Spellcheckerwordhighlight">
    <w:name w:val="spellchecker-word-highlight"/>
    <w:basedOn w:val="Style12"/>
    <w:qFormat/>
    <w:rPr/>
  </w:style>
  <w:style w:type="character" w:styleId="Appleconvertedspace">
    <w:name w:val="apple-converted-space"/>
    <w:basedOn w:val="Style12"/>
    <w:qFormat/>
    <w:rPr/>
  </w:style>
  <w:style w:type="character" w:styleId="Blk">
    <w:name w:val="blk"/>
    <w:basedOn w:val="Style12"/>
    <w:qFormat/>
    <w:rPr/>
  </w:style>
  <w:style w:type="character" w:styleId="ListLabel3">
    <w:name w:val="ListLabel 3"/>
    <w:qFormat/>
    <w:rPr>
      <w:rFonts w:ascii="Times New Roman" w:hAnsi="Times New Roman" w:cs="Times New Roman"/>
      <w:sz w:val="26"/>
      <w:szCs w:val="26"/>
    </w:rPr>
  </w:style>
  <w:style w:type="character" w:styleId="ListLabel4">
    <w:name w:val="ListLabel 4"/>
    <w:qFormat/>
    <w:rPr>
      <w:rFonts w:ascii="Times New Roman" w:hAnsi="Times New Roman" w:cs="Times New Roman"/>
      <w:sz w:val="26"/>
      <w:szCs w:val="26"/>
    </w:rPr>
  </w:style>
  <w:style w:type="character" w:styleId="ListLabel5">
    <w:name w:val="ListLabel 5"/>
    <w:qFormat/>
    <w:rPr>
      <w:rFonts w:ascii="Times New Roman" w:hAnsi="Times New Roman" w:cs="Times New Roman"/>
      <w:sz w:val="26"/>
      <w:szCs w:val="26"/>
    </w:rPr>
  </w:style>
  <w:style w:type="character" w:styleId="ListLabel6">
    <w:name w:val="ListLabel 6"/>
    <w:qFormat/>
    <w:rPr>
      <w:rFonts w:ascii="Times New Roman" w:hAnsi="Times New Roman" w:cs="Times New Roman"/>
      <w:sz w:val="26"/>
      <w:szCs w:val="26"/>
    </w:rPr>
  </w:style>
  <w:style w:type="character" w:styleId="ListLabel7">
    <w:name w:val="ListLabel 7"/>
    <w:qFormat/>
    <w:rPr>
      <w:rFonts w:ascii="Times New Roman" w:hAnsi="Times New Roman" w:cs="Times New Roman"/>
      <w:sz w:val="26"/>
      <w:szCs w:val="26"/>
    </w:rPr>
  </w:style>
  <w:style w:type="character" w:styleId="ListLabel8">
    <w:name w:val="ListLabel 8"/>
    <w:qFormat/>
    <w:rPr>
      <w:rFonts w:ascii="Times New Roman" w:hAnsi="Times New Roman" w:cs="Times New Roman"/>
      <w:sz w:val="26"/>
      <w:szCs w:val="26"/>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before="0" w:after="120"/>
    </w:pPr>
    <w:rPr>
      <w:sz w:val="24"/>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Header"/>
    <w:basedOn w:val="Normal"/>
    <w:pPr>
      <w:tabs>
        <w:tab w:val="center" w:pos="4677" w:leader="none"/>
        <w:tab w:val="right" w:pos="9355" w:leader="none"/>
      </w:tabs>
    </w:pPr>
    <w:rPr/>
  </w:style>
  <w:style w:type="paragraph" w:styleId="Style20">
    <w:name w:val="Footer"/>
    <w:basedOn w:val="Normal"/>
    <w:pPr>
      <w:tabs>
        <w:tab w:val="center" w:pos="4677" w:leader="none"/>
        <w:tab w:val="right" w:pos="9355" w:leader="none"/>
      </w:tabs>
    </w:pPr>
    <w:rPr/>
  </w:style>
  <w:style w:type="paragraph" w:styleId="Style21">
    <w:name w:val="Адресат вверху"/>
    <w:basedOn w:val="Normal"/>
    <w:qFormat/>
    <w:pPr>
      <w:suppressAutoHyphens w:val="true"/>
      <w:jc w:val="both"/>
    </w:pPr>
    <w:rPr>
      <w:b/>
      <w:sz w:val="24"/>
    </w:rPr>
  </w:style>
  <w:style w:type="paragraph" w:styleId="ConsPlusNormal">
    <w:name w:val="ConsPlusNormal"/>
    <w:qFormat/>
    <w:pPr>
      <w:widowControl w:val="false"/>
      <w:overflowPunct w:val="true"/>
      <w:bidi w:val="0"/>
      <w:jc w:val="left"/>
    </w:pPr>
    <w:rPr>
      <w:rFonts w:ascii="Arial" w:hAnsi="Arial" w:eastAsia="Times New Roman" w:cs="Arial"/>
      <w:color w:val="00000A"/>
      <w:sz w:val="20"/>
      <w:szCs w:val="20"/>
      <w:lang w:val="ru-RU" w:eastAsia="zh-CN" w:bidi="ar-SA"/>
    </w:rPr>
  </w:style>
  <w:style w:type="paragraph" w:styleId="Parameter">
    <w:name w:val="parameter"/>
    <w:basedOn w:val="Normal"/>
    <w:qFormat/>
    <w:pPr>
      <w:spacing w:before="280" w:after="280"/>
    </w:pPr>
    <w:rPr>
      <w:sz w:val="24"/>
      <w:szCs w:val="24"/>
    </w:rPr>
  </w:style>
  <w:style w:type="paragraph" w:styleId="Parametervalue">
    <w:name w:val="parametervalue"/>
    <w:basedOn w:val="Normal"/>
    <w:qFormat/>
    <w:pPr>
      <w:spacing w:before="280" w:after="280"/>
    </w:pPr>
    <w:rPr>
      <w:sz w:val="24"/>
      <w:szCs w:val="24"/>
    </w:rPr>
  </w:style>
  <w:style w:type="paragraph" w:styleId="Style22">
    <w:name w:val="Обычный (веб)"/>
    <w:basedOn w:val="Normal"/>
    <w:qFormat/>
    <w:pPr>
      <w:spacing w:before="280" w:after="280"/>
    </w:pPr>
    <w:rPr>
      <w:sz w:val="24"/>
      <w:szCs w:val="24"/>
    </w:rPr>
  </w:style>
  <w:style w:type="paragraph" w:styleId="20">
    <w:name w:val="20"/>
    <w:basedOn w:val="Normal"/>
    <w:qFormat/>
    <w:pPr>
      <w:spacing w:before="280" w:after="280"/>
    </w:pPr>
    <w:rPr>
      <w:rFonts w:eastAsia="Calibri"/>
      <w:sz w:val="24"/>
      <w:szCs w:val="24"/>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00000A"/>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00000A"/>
      <w:sz w:val="20"/>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00000A"/>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00000A"/>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00000A"/>
      <w:sz w:val="20"/>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00000A"/>
      <w:sz w:val="26"/>
      <w:szCs w:val="24"/>
      <w:u w:val="none"/>
      <w:lang w:val="ru-RU"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zakupki.gov.ru/" TargetMode="External"/><Relationship Id="rId4" Type="http://schemas.openxmlformats.org/officeDocument/2006/relationships/hyperlink" Target="http://www.zakupki.gov.ru/" TargetMode="External"/><Relationship Id="rId5" Type="http://schemas.openxmlformats.org/officeDocument/2006/relationships/hyperlink" Target="http://www.zakupki.gov.ru/" TargetMode="External"/><Relationship Id="rId6" Type="http://schemas.openxmlformats.org/officeDocument/2006/relationships/hyperlink" Target="http://www.zakupki.gov.ru/" TargetMode="External"/><Relationship Id="rId7" Type="http://schemas.openxmlformats.org/officeDocument/2006/relationships/hyperlink" Target="http://www.zakupki.gov.ru/" TargetMode="External"/><Relationship Id="rId8" Type="http://schemas.openxmlformats.org/officeDocument/2006/relationships/hyperlink" Target="http://www.zakupki.gov.ru/" TargetMode="External"/><Relationship Id="rId9" Type="http://schemas.openxmlformats.org/officeDocument/2006/relationships/hyperlink" Target="http://www.zakupki.gov.ru/" TargetMode="External"/><Relationship Id="rId10" Type="http://schemas.openxmlformats.org/officeDocument/2006/relationships/hyperlink" Target="consultantplus://offline/ref=F5794C70721ADACFE06AB07A601D5B3D329BD6BDFB4F7D4B9DB5A235E704859C92FCB7BCDAE41DACECa7M" TargetMode="External"/><Relationship Id="rId11" Type="http://schemas.openxmlformats.org/officeDocument/2006/relationships/hyperlink" Target="consultantplus://offline/ref=F5794C70721ADACFE06AB07A601D5B3D329BD6BDFB4F7D4B9DB5A235E704859C92FCB7BCDAE41DACECa7M" TargetMode="External"/><Relationship Id="rId12" Type="http://schemas.openxmlformats.org/officeDocument/2006/relationships/hyperlink" Target="consultantplus://offline/ref=BA78688A38F5B899B37FCB7429A42B57F09844EA15CEA246AC25C1C0A2274B0B56FD86987B43BF2BB5OC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169</TotalTime>
  <Application>LibreOffice/5.1.2.2$Windows_X86_64 LibreOffice_project/d3bf12ecb743fc0d20e0be0c58ca359301eb705f</Application>
  <Pages>7</Pages>
  <Words>2161</Words>
  <Characters>14791</Characters>
  <CharactersWithSpaces>17283</CharactersWithSpaces>
  <Paragraphs>109</Paragraphs>
  <Company>КонсультантПлюс Версия 4015.00.09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2016-07-18T14:13:00Z</dcterms:created>
  <dc:creator>USER</dc:creator>
  <dc:description/>
  <dc:language>ru-RU</dc:language>
  <cp:lastModifiedBy/>
  <cp:lastPrinted>2016-07-20T08:58:33Z</cp:lastPrinted>
  <dcterms:modified xsi:type="dcterms:W3CDTF">2016-07-22T08:54:31Z</dcterms:modified>
  <cp:revision>15</cp:revision>
  <dc:subject/>
  <dc:title>Федеральный закон от 05.04.2013 N 44-ФЗ(ред. от 03.07.2016)"О контрактной системе в сфере закупок товаров, работ, услуг для обеспечения государственных и муниципальных нужд"(с изм. и доп., вступ. в силу с 15.07.2016)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4015.00.09</vt:lpwstr>
  </property>
</Properties>
</file>