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drawing>
          <wp:anchor behindDoc="0" distT="0" distB="0" distL="114935" distR="114935" simplePos="0" locked="0" layoutInCell="1" allowOverlap="1" relativeHeight="2">
            <wp:simplePos x="0" y="0"/>
            <wp:positionH relativeFrom="column">
              <wp:posOffset>2628265</wp:posOffset>
            </wp:positionH>
            <wp:positionV relativeFrom="paragraph">
              <wp:posOffset>110490</wp:posOffset>
            </wp:positionV>
            <wp:extent cx="685800" cy="678180"/>
            <wp:effectExtent l="0" t="0" r="0" b="0"/>
            <wp:wrapNone/>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685800" cy="678180"/>
                    </a:xfrm>
                    <a:prstGeom prst="rect">
                      <a:avLst/>
                    </a:prstGeom>
                  </pic:spPr>
                </pic:pic>
              </a:graphicData>
            </a:graphic>
          </wp:anchor>
        </w:drawing>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p>
      <w:pPr>
        <w:pStyle w:val="Normal"/>
        <w:widowControl w:val="false"/>
        <w:jc w:val="center"/>
        <w:rPr>
          <w:sz w:val="16"/>
        </w:rPr>
      </w:pPr>
      <w:r>
        <w:rPr>
          <w:sz w:val="16"/>
        </w:rPr>
      </w:r>
    </w:p>
    <w:tbl>
      <w:tblPr>
        <w:tblW w:w="9805" w:type="dxa"/>
        <w:jc w:val="left"/>
        <w:tblInd w:w="0" w:type="dxa"/>
        <w:tblBorders/>
        <w:tblCellMar>
          <w:top w:w="0" w:type="dxa"/>
          <w:left w:w="108" w:type="dxa"/>
          <w:bottom w:w="0" w:type="dxa"/>
          <w:right w:w="108" w:type="dxa"/>
        </w:tblCellMar>
      </w:tblPr>
      <w:tblGrid>
        <w:gridCol w:w="9805"/>
      </w:tblGrid>
      <w:tr>
        <w:trPr>
          <w:trHeight w:val="1862" w:hRule="atLeast"/>
        </w:trPr>
        <w:tc>
          <w:tcPr>
            <w:tcW w:w="9805" w:type="dxa"/>
            <w:tcBorders/>
            <w:shd w:fill="auto" w:val="clear"/>
          </w:tcPr>
          <w:p>
            <w:pPr>
              <w:pStyle w:val="Style16"/>
              <w:jc w:val="center"/>
              <w:rPr>
                <w:b/>
                <w:b/>
                <w:color w:val="0066CC"/>
              </w:rPr>
            </w:pPr>
            <w:r>
              <w:rPr>
                <w:b/>
                <w:color w:val="0066CC"/>
              </w:rPr>
              <w:t>УПРАВЛЕНИЕ ФЕДЕРАЛЬНОЙ АНТИМОНОПОЛЬНОЙ СЛУЖБЫ</w:t>
            </w:r>
          </w:p>
          <w:p>
            <w:pPr>
              <w:pStyle w:val="Normal"/>
              <w:jc w:val="center"/>
              <w:rPr>
                <w:b/>
                <w:b/>
                <w:color w:val="0066CC"/>
                <w:sz w:val="24"/>
              </w:rPr>
            </w:pPr>
            <w:r>
              <w:rPr>
                <w:b/>
                <w:color w:val="0066CC"/>
                <w:sz w:val="24"/>
              </w:rPr>
              <w:t>ПО НЕНЕЦКОМУ АВТОНОМНОМУ ОКРУГУ</w:t>
            </w:r>
          </w:p>
          <w:p>
            <w:pPr>
              <w:pStyle w:val="Normal"/>
              <w:jc w:val="center"/>
              <w:rPr>
                <w:b/>
                <w:b/>
                <w:color w:val="0066CC"/>
                <w:sz w:val="24"/>
              </w:rPr>
            </w:pPr>
            <w:r>
              <w:rPr>
                <w:b/>
                <w:color w:val="0066CC"/>
                <w:sz w:val="24"/>
              </w:rPr>
            </w:r>
          </w:p>
          <w:p>
            <w:pPr>
              <w:pStyle w:val="Normal"/>
              <w:jc w:val="center"/>
              <w:rPr>
                <w:b/>
                <w:b/>
                <w:color w:val="0066CC"/>
                <w:sz w:val="22"/>
              </w:rPr>
            </w:pPr>
            <w:r>
              <w:rPr>
                <w:b/>
                <w:color w:val="0066CC"/>
                <w:sz w:val="22"/>
              </w:rPr>
            </w:r>
          </w:p>
          <w:p>
            <w:pPr>
              <w:pStyle w:val="3"/>
              <w:numPr>
                <w:ilvl w:val="2"/>
                <w:numId w:val="2"/>
              </w:numPr>
              <w:rPr>
                <w:color w:val="0066CC"/>
                <w:sz w:val="32"/>
              </w:rPr>
            </w:pPr>
            <w:r>
              <w:rPr>
                <w:color w:val="0066CC"/>
                <w:sz w:val="32"/>
              </w:rPr>
              <w:t>Р Е Ш Е Н И Е</w:t>
            </w:r>
          </w:p>
          <w:p>
            <w:pPr>
              <w:pStyle w:val="Normal"/>
              <w:jc w:val="center"/>
              <w:rPr>
                <w:color w:val="0066CC"/>
                <w:sz w:val="22"/>
              </w:rPr>
            </w:pPr>
            <w:r>
              <w:rPr>
                <w:color w:val="0066CC"/>
                <w:sz w:val="22"/>
              </w:rPr>
            </w:r>
          </w:p>
          <w:p>
            <w:pPr>
              <w:pStyle w:val="Normal"/>
              <w:jc w:val="center"/>
              <w:rPr>
                <w:sz w:val="26"/>
                <w:szCs w:val="26"/>
              </w:rPr>
            </w:pPr>
            <w:r>
              <w:rPr>
                <w:sz w:val="26"/>
                <w:szCs w:val="26"/>
              </w:rPr>
              <w:t>о нарушении законодательства о контрактной системе</w:t>
            </w:r>
          </w:p>
          <w:p>
            <w:pPr>
              <w:pStyle w:val="Normal"/>
              <w:jc w:val="center"/>
              <w:rPr>
                <w:bCs/>
                <w:color w:val="0066CC"/>
                <w:sz w:val="26"/>
                <w:szCs w:val="26"/>
              </w:rPr>
            </w:pPr>
            <w:r>
              <w:rPr>
                <w:bCs/>
                <w:color w:val="0066CC"/>
                <w:sz w:val="26"/>
                <w:szCs w:val="26"/>
              </w:rPr>
            </w:r>
          </w:p>
          <w:p>
            <w:pPr>
              <w:pStyle w:val="Normal"/>
              <w:jc w:val="center"/>
              <w:rPr>
                <w:color w:val="0066CC"/>
                <w:sz w:val="22"/>
                <w:szCs w:val="26"/>
              </w:rPr>
            </w:pPr>
            <w:r>
              <w:rPr>
                <w:color w:val="0066CC"/>
                <w:sz w:val="22"/>
                <w:szCs w:val="26"/>
              </w:rPr>
            </w:r>
          </w:p>
          <w:p>
            <w:pPr>
              <w:pStyle w:val="Normal"/>
              <w:rPr/>
            </w:pPr>
            <w:r>
              <w:rPr>
                <w:sz w:val="26"/>
                <w:szCs w:val="26"/>
              </w:rPr>
              <w:t>23.06.2016 г.</w:t>
            </w:r>
            <w:r>
              <w:rPr>
                <w:sz w:val="22"/>
              </w:rPr>
              <w:t xml:space="preserve">                                                                                                          </w:t>
            </w:r>
            <w:r>
              <w:rPr>
                <w:sz w:val="26"/>
                <w:szCs w:val="26"/>
              </w:rPr>
              <w:t>№ 01-33/21-2016</w:t>
            </w:r>
          </w:p>
        </w:tc>
      </w:tr>
    </w:tbl>
    <w:p>
      <w:pPr>
        <w:pStyle w:val="Normal"/>
        <w:rPr>
          <w:sz w:val="16"/>
          <w:lang w:val="ru-RU" w:eastAsia="ru-RU"/>
        </w:rPr>
      </w:pPr>
      <w:r>
        <w:rPr>
          <w:sz w:val="16"/>
          <w:lang w:val="ru-RU" w:eastAsia="ru-RU"/>
        </w:rPr>
      </w:r>
    </w:p>
    <w:p>
      <w:pPr>
        <w:pStyle w:val="Normal"/>
        <w:rPr/>
      </w:pPr>
      <w:r>
        <w:rPr/>
      </w:r>
    </w:p>
    <w:p>
      <w:pPr>
        <w:pStyle w:val="Normal"/>
        <w:rPr/>
      </w:pPr>
      <w:r>
        <w:rPr/>
      </w:r>
    </w:p>
    <w:p>
      <w:pPr>
        <w:pStyle w:val="Normal"/>
        <w:jc w:val="center"/>
        <w:rPr/>
      </w:pPr>
      <w:r>
        <w:rPr/>
        <w:tab/>
      </w:r>
      <w:r>
        <w:rPr>
          <w:bCs/>
          <w:sz w:val="26"/>
          <w:szCs w:val="26"/>
        </w:rPr>
        <w:t>г. Нарьян-Мар</w:t>
      </w:r>
    </w:p>
    <w:p>
      <w:pPr>
        <w:pStyle w:val="Normal"/>
        <w:jc w:val="center"/>
        <w:rPr>
          <w:bCs/>
          <w:sz w:val="26"/>
          <w:szCs w:val="26"/>
        </w:rPr>
      </w:pPr>
      <w:r>
        <w:rPr>
          <w:bCs/>
          <w:sz w:val="26"/>
          <w:szCs w:val="26"/>
        </w:rPr>
      </w:r>
    </w:p>
    <w:p>
      <w:pPr>
        <w:pStyle w:val="Style22"/>
        <w:ind w:left="0" w:right="0" w:firstLine="540"/>
        <w:rPr>
          <w:sz w:val="26"/>
          <w:szCs w:val="26"/>
        </w:rPr>
      </w:pPr>
      <w:r>
        <w:rPr>
          <w:sz w:val="26"/>
          <w:szCs w:val="26"/>
        </w:rPr>
        <w:t>Сведения о проверке:</w:t>
      </w:r>
    </w:p>
    <w:p>
      <w:pPr>
        <w:pStyle w:val="Style22"/>
        <w:ind w:left="0" w:right="0" w:firstLine="540"/>
        <w:rPr>
          <w:b w:val="false"/>
          <w:b w:val="false"/>
          <w:sz w:val="26"/>
          <w:szCs w:val="26"/>
        </w:rPr>
      </w:pPr>
      <w:r>
        <w:rPr>
          <w:b w:val="false"/>
          <w:sz w:val="26"/>
          <w:szCs w:val="26"/>
        </w:rPr>
        <w:t>Проведена в соответствии со статьей 99,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pPr>
        <w:pStyle w:val="Style22"/>
        <w:ind w:left="0" w:right="0" w:firstLine="540"/>
        <w:rPr/>
      </w:pPr>
      <w:r>
        <w:rPr>
          <w:b w:val="false"/>
          <w:sz w:val="26"/>
          <w:szCs w:val="26"/>
        </w:rPr>
        <w:t>Срок проведения: с 17 июня 2016 года по 23 июня 2016 года;</w:t>
      </w:r>
    </w:p>
    <w:p>
      <w:pPr>
        <w:pStyle w:val="Style22"/>
        <w:ind w:left="0" w:right="0" w:firstLine="540"/>
        <w:rPr/>
      </w:pPr>
      <w:r>
        <w:rPr>
          <w:b w:val="false"/>
          <w:sz w:val="26"/>
          <w:szCs w:val="26"/>
        </w:rPr>
        <w:t>Основание – жалоба Акционерного общества по производству технических газов имени Кима Ф.И. (далее по тексту – заявитель) на положения аукционной документации заказчика – Государственного бюджетного учреждения здравоохранения Ненецкого автономного округа «Ненецкая окружная больница», закупка № 0384200001816000148.</w:t>
      </w:r>
    </w:p>
    <w:p>
      <w:pPr>
        <w:pStyle w:val="Style22"/>
        <w:ind w:left="0" w:right="0" w:firstLine="540"/>
        <w:rPr/>
      </w:pPr>
      <w:r>
        <w:rPr>
          <w:b w:val="false"/>
          <w:sz w:val="26"/>
          <w:szCs w:val="26"/>
        </w:rPr>
        <w:t>Сведения о закупке № 0384200001816000148, на которую поступила жалоба:</w:t>
      </w:r>
    </w:p>
    <w:p>
      <w:pPr>
        <w:pStyle w:val="Style22"/>
        <w:ind w:left="0" w:right="0" w:firstLine="540"/>
        <w:rPr>
          <w:b w:val="false"/>
          <w:b w:val="false"/>
          <w:sz w:val="26"/>
          <w:szCs w:val="26"/>
        </w:rPr>
      </w:pPr>
      <w:r>
        <w:rPr>
          <w:b w:val="false"/>
          <w:sz w:val="26"/>
          <w:szCs w:val="26"/>
        </w:rPr>
      </w:r>
    </w:p>
    <w:tbl>
      <w:tblPr>
        <w:tblW w:w="9370" w:type="dxa"/>
        <w:jc w:val="left"/>
        <w:tblInd w:w="225" w:type="dxa"/>
        <w:tblBorders>
          <w:top w:val="single" w:sz="4" w:space="0" w:color="000001"/>
          <w:left w:val="single" w:sz="4" w:space="0" w:color="000001"/>
          <w:bottom w:val="single" w:sz="4" w:space="0" w:color="000001"/>
          <w:insideH w:val="single" w:sz="4" w:space="0" w:color="000001"/>
        </w:tblBorders>
        <w:tblCellMar>
          <w:top w:w="0" w:type="dxa"/>
          <w:left w:w="221" w:type="dxa"/>
          <w:bottom w:w="0" w:type="dxa"/>
          <w:right w:w="167" w:type="dxa"/>
        </w:tblCellMar>
      </w:tblPr>
      <w:tblGrid>
        <w:gridCol w:w="4130"/>
        <w:gridCol w:w="5239"/>
      </w:tblGrid>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21" w:type="dxa"/>
            </w:tcMar>
            <w:vAlign w:val="center"/>
          </w:tcPr>
          <w:p>
            <w:pPr>
              <w:pStyle w:val="Normal"/>
              <w:spacing w:before="0" w:after="0"/>
              <w:rPr>
                <w:sz w:val="26"/>
                <w:szCs w:val="26"/>
              </w:rPr>
            </w:pPr>
            <w:r>
              <w:rPr>
                <w:sz w:val="26"/>
                <w:szCs w:val="26"/>
              </w:rPr>
              <w:t>Наименование объекта закупки</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rPr/>
            </w:pPr>
            <w:r>
              <w:rPr>
                <w:color w:val="000000"/>
                <w:sz w:val="26"/>
                <w:szCs w:val="26"/>
              </w:rPr>
              <w:t xml:space="preserve">Поставка </w:t>
            </w:r>
            <w:r>
              <w:rPr>
                <w:rFonts w:eastAsia="Calibri"/>
                <w:color w:val="000000"/>
                <w:sz w:val="26"/>
                <w:szCs w:val="26"/>
                <w:lang w:eastAsia="en-US"/>
              </w:rPr>
              <w:t>концентратора кислорода медицинского</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21" w:type="dxa"/>
            </w:tcMar>
            <w:vAlign w:val="center"/>
          </w:tcPr>
          <w:p>
            <w:pPr>
              <w:pStyle w:val="Normal"/>
              <w:spacing w:before="0" w:after="0"/>
              <w:rPr>
                <w:sz w:val="26"/>
                <w:szCs w:val="26"/>
              </w:rPr>
            </w:pPr>
            <w:r>
              <w:rPr>
                <w:sz w:val="26"/>
                <w:szCs w:val="26"/>
              </w:rPr>
              <w:t>Способ определения поставщика (подрядчика, исполнителя)</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rPr>
                <w:sz w:val="26"/>
                <w:szCs w:val="26"/>
              </w:rPr>
            </w:pPr>
            <w:r>
              <w:rPr>
                <w:sz w:val="26"/>
                <w:szCs w:val="26"/>
              </w:rPr>
              <w:t>Электронный аукцион</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21" w:type="dxa"/>
            </w:tcMar>
            <w:vAlign w:val="center"/>
          </w:tcPr>
          <w:p>
            <w:pPr>
              <w:pStyle w:val="Normal"/>
              <w:spacing w:before="0" w:after="0"/>
              <w:rPr>
                <w:sz w:val="26"/>
                <w:szCs w:val="26"/>
              </w:rPr>
            </w:pPr>
            <w:r>
              <w:rPr>
                <w:sz w:val="26"/>
                <w:szCs w:val="26"/>
              </w:rPr>
              <w:t>Заказчик и адрес его местонахождения</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keepNext/>
              <w:keepLines/>
              <w:widowControl w:val="false"/>
              <w:suppressLineNumbers/>
              <w:tabs>
                <w:tab w:val="left" w:pos="1701" w:leader="none"/>
                <w:tab w:val="left" w:pos="5103" w:leader="none"/>
              </w:tabs>
              <w:suppressAutoHyphens w:val="true"/>
              <w:rPr/>
            </w:pPr>
            <w:r>
              <w:rPr>
                <w:bCs/>
                <w:sz w:val="26"/>
                <w:szCs w:val="26"/>
              </w:rPr>
              <w:t>Государственное бюджетное учреждение здравоохранения Ненецкого автономного округа «Ненецкая окружная больница»</w:t>
            </w:r>
          </w:p>
          <w:p>
            <w:pPr>
              <w:pStyle w:val="Normal"/>
              <w:keepNext/>
              <w:keepLines/>
              <w:widowControl w:val="false"/>
              <w:suppressLineNumbers/>
              <w:tabs>
                <w:tab w:val="left" w:pos="1701" w:leader="none"/>
                <w:tab w:val="left" w:pos="5103" w:leader="none"/>
              </w:tabs>
              <w:suppressAutoHyphens w:val="true"/>
              <w:rPr/>
            </w:pPr>
            <w:r>
              <w:rPr>
                <w:sz w:val="26"/>
                <w:szCs w:val="26"/>
              </w:rPr>
              <w:t>166000, Ненецкий автономный округ, г. Нарьян-Мар, ул. Пырерка, д. 13 «А»</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21" w:type="dxa"/>
            </w:tcMar>
            <w:vAlign w:val="center"/>
          </w:tcPr>
          <w:p>
            <w:pPr>
              <w:pStyle w:val="Parameter"/>
              <w:spacing w:before="280" w:after="0"/>
              <w:rPr>
                <w:sz w:val="26"/>
                <w:szCs w:val="26"/>
              </w:rPr>
            </w:pPr>
            <w:r>
              <w:rPr>
                <w:sz w:val="26"/>
                <w:szCs w:val="26"/>
              </w:rPr>
              <w:t>Начальная (максимальная) цена контракта</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tabs>
                <w:tab w:val="left" w:pos="936" w:leader="none"/>
              </w:tabs>
              <w:spacing w:before="280" w:after="0"/>
              <w:ind w:left="0" w:right="0" w:hanging="0"/>
              <w:jc w:val="both"/>
              <w:rPr>
                <w:b w:val="false"/>
                <w:b w:val="false"/>
                <w:bCs w:val="false"/>
              </w:rPr>
            </w:pPr>
            <w:r>
              <w:rPr>
                <w:b w:val="false"/>
                <w:bCs w:val="false"/>
                <w:sz w:val="26"/>
                <w:szCs w:val="26"/>
              </w:rPr>
              <w:t>9 490 000,00 (Девять миллионов четыреста девяносто тысяч) рублей 00 копеек.</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21" w:type="dxa"/>
            </w:tcMar>
            <w:vAlign w:val="center"/>
          </w:tcPr>
          <w:p>
            <w:pPr>
              <w:pStyle w:val="Parameter"/>
              <w:spacing w:before="280" w:after="0"/>
              <w:rPr>
                <w:sz w:val="26"/>
                <w:szCs w:val="26"/>
              </w:rPr>
            </w:pPr>
            <w:r>
              <w:rPr>
                <w:sz w:val="26"/>
                <w:szCs w:val="26"/>
              </w:rPr>
              <w:t>Дата и время окончания подачи заявок</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Style16"/>
              <w:spacing w:before="280" w:after="0"/>
              <w:ind w:left="0" w:right="0" w:firstLine="540"/>
              <w:rPr/>
            </w:pPr>
            <w:r>
              <w:rPr>
                <w:color w:val="000000"/>
                <w:sz w:val="26"/>
                <w:szCs w:val="26"/>
              </w:rPr>
              <w:t>20 июня 2016 года</w:t>
            </w:r>
          </w:p>
        </w:tc>
      </w:tr>
      <w:tr>
        <w:trPr/>
        <w:tc>
          <w:tcPr>
            <w:tcW w:w="4130" w:type="dxa"/>
            <w:tcBorders>
              <w:top w:val="single" w:sz="4" w:space="0" w:color="000001"/>
              <w:left w:val="single" w:sz="4" w:space="0" w:color="000001"/>
              <w:bottom w:val="single" w:sz="4" w:space="0" w:color="000001"/>
              <w:insideH w:val="single" w:sz="4" w:space="0" w:color="000001"/>
            </w:tcBorders>
            <w:shd w:fill="auto" w:val="clear"/>
            <w:tcMar>
              <w:left w:w="221" w:type="dxa"/>
            </w:tcMar>
            <w:vAlign w:val="center"/>
          </w:tcPr>
          <w:p>
            <w:pPr>
              <w:pStyle w:val="Normal"/>
              <w:spacing w:before="0" w:after="0"/>
              <w:rPr>
                <w:sz w:val="26"/>
                <w:szCs w:val="26"/>
              </w:rPr>
            </w:pPr>
            <w:r>
              <w:rPr>
                <w:sz w:val="26"/>
                <w:szCs w:val="26"/>
              </w:rPr>
              <w:t>Официальный сайт для публикации сведений о закупке в информационно-телекоммуникационной сети «Интернет»</w:t>
            </w:r>
          </w:p>
        </w:tc>
        <w:tc>
          <w:tcPr>
            <w:tcW w:w="5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15" w:type="dxa"/>
              <w:left w:w="-5" w:type="dxa"/>
              <w:bottom w:w="15" w:type="dxa"/>
              <w:right w:w="15" w:type="dxa"/>
            </w:tcMar>
            <w:vAlign w:val="center"/>
          </w:tcPr>
          <w:p>
            <w:pPr>
              <w:pStyle w:val="Normal"/>
              <w:spacing w:before="0" w:after="0"/>
              <w:ind w:left="0" w:right="0" w:firstLine="540"/>
              <w:rPr/>
            </w:pPr>
            <w:hyperlink r:id="rId3">
              <w:r>
                <w:rPr>
                  <w:rStyle w:val="Style14"/>
                  <w:sz w:val="26"/>
                  <w:szCs w:val="26"/>
                  <w:lang w:val="en-US"/>
                </w:rPr>
                <w:t>www</w:t>
              </w:r>
            </w:hyperlink>
            <w:hyperlink r:id="rId4">
              <w:r>
                <w:rPr>
                  <w:rStyle w:val="Style14"/>
                  <w:sz w:val="26"/>
                  <w:szCs w:val="26"/>
                </w:rPr>
                <w:t>.</w:t>
              </w:r>
            </w:hyperlink>
            <w:hyperlink r:id="rId5">
              <w:r>
                <w:rPr>
                  <w:rStyle w:val="Style14"/>
                  <w:sz w:val="26"/>
                  <w:szCs w:val="26"/>
                  <w:lang w:val="en-US"/>
                </w:rPr>
                <w:t>zakupki</w:t>
              </w:r>
            </w:hyperlink>
            <w:hyperlink r:id="rId6">
              <w:r>
                <w:rPr>
                  <w:rStyle w:val="Style14"/>
                  <w:sz w:val="26"/>
                  <w:szCs w:val="26"/>
                </w:rPr>
                <w:t>.</w:t>
              </w:r>
            </w:hyperlink>
            <w:hyperlink r:id="rId7">
              <w:r>
                <w:rPr>
                  <w:rStyle w:val="Style14"/>
                  <w:sz w:val="26"/>
                  <w:szCs w:val="26"/>
                  <w:lang w:val="en-US"/>
                </w:rPr>
                <w:t>gov</w:t>
              </w:r>
            </w:hyperlink>
            <w:hyperlink r:id="rId8">
              <w:r>
                <w:rPr>
                  <w:rStyle w:val="Style14"/>
                  <w:sz w:val="26"/>
                  <w:szCs w:val="26"/>
                </w:rPr>
                <w:t>.</w:t>
              </w:r>
            </w:hyperlink>
            <w:hyperlink r:id="rId9">
              <w:r>
                <w:rPr>
                  <w:rStyle w:val="Style14"/>
                  <w:sz w:val="26"/>
                  <w:szCs w:val="26"/>
                  <w:lang w:val="en-US"/>
                </w:rPr>
                <w:t>ru</w:t>
              </w:r>
            </w:hyperlink>
          </w:p>
        </w:tc>
      </w:tr>
    </w:tbl>
    <w:p>
      <w:pPr>
        <w:pStyle w:val="Style22"/>
        <w:rPr>
          <w:b w:val="false"/>
          <w:b w:val="false"/>
          <w:sz w:val="26"/>
          <w:szCs w:val="26"/>
        </w:rPr>
      </w:pPr>
      <w:r>
        <w:rPr>
          <w:b w:val="false"/>
          <w:sz w:val="26"/>
          <w:szCs w:val="26"/>
        </w:rPr>
      </w:r>
    </w:p>
    <w:p>
      <w:pPr>
        <w:pStyle w:val="Style22"/>
        <w:ind w:left="0" w:right="0" w:firstLine="540"/>
        <w:rPr/>
      </w:pPr>
      <w:r>
        <w:rPr>
          <w:b w:val="false"/>
          <w:sz w:val="26"/>
          <w:szCs w:val="26"/>
        </w:rPr>
        <w:t>Дата рассмотрения материалов проверки – 23 июня 2016 года.</w:t>
      </w:r>
    </w:p>
    <w:p>
      <w:pPr>
        <w:pStyle w:val="Style22"/>
        <w:ind w:left="0" w:right="0" w:firstLine="540"/>
        <w:rPr>
          <w:b w:val="false"/>
          <w:b w:val="false"/>
          <w:sz w:val="26"/>
          <w:szCs w:val="26"/>
        </w:rPr>
      </w:pPr>
      <w:r>
        <w:rPr>
          <w:b w:val="false"/>
          <w:sz w:val="26"/>
          <w:szCs w:val="26"/>
        </w:rPr>
        <w:t>Рассмотрение проведено Комиссией Управления Федеральной антимонопольной службы по Ненецкому автономному округу (далее по тексту – Комиссия) в составе:</w:t>
      </w:r>
    </w:p>
    <w:p>
      <w:pPr>
        <w:pStyle w:val="Style22"/>
        <w:ind w:left="0" w:right="0" w:firstLine="540"/>
        <w:rPr>
          <w:b w:val="false"/>
          <w:b w:val="false"/>
          <w:sz w:val="26"/>
          <w:szCs w:val="26"/>
        </w:rPr>
      </w:pPr>
      <w:r>
        <w:rPr>
          <w:b w:val="false"/>
          <w:sz w:val="26"/>
          <w:szCs w:val="26"/>
        </w:rPr>
        <w:t>Председатель Комиссии:</w:t>
      </w:r>
    </w:p>
    <w:p>
      <w:pPr>
        <w:pStyle w:val="Style22"/>
        <w:ind w:left="0" w:right="0" w:firstLine="540"/>
        <w:rPr>
          <w:b w:val="false"/>
          <w:b w:val="false"/>
          <w:sz w:val="26"/>
          <w:szCs w:val="26"/>
        </w:rPr>
      </w:pPr>
      <w:r>
        <w:rPr/>
      </w:r>
    </w:p>
    <w:p>
      <w:pPr>
        <w:pStyle w:val="Style22"/>
        <w:ind w:left="0" w:right="0" w:firstLine="540"/>
        <w:rPr>
          <w:b w:val="false"/>
          <w:b w:val="false"/>
          <w:sz w:val="26"/>
          <w:szCs w:val="26"/>
        </w:rPr>
      </w:pPr>
      <w:r>
        <w:rPr>
          <w:b w:val="false"/>
          <w:sz w:val="26"/>
          <w:szCs w:val="26"/>
        </w:rPr>
        <w:t xml:space="preserve">Члены Комиссии: </w:t>
      </w:r>
    </w:p>
    <w:p>
      <w:pPr>
        <w:pStyle w:val="Style22"/>
        <w:ind w:left="0" w:right="0" w:firstLine="540"/>
        <w:rPr>
          <w:b w:val="false"/>
          <w:b w:val="false"/>
          <w:sz w:val="26"/>
          <w:szCs w:val="26"/>
        </w:rPr>
      </w:pPr>
      <w:r>
        <w:rPr/>
      </w:r>
    </w:p>
    <w:p>
      <w:pPr>
        <w:pStyle w:val="Style22"/>
        <w:ind w:left="0" w:right="0" w:firstLine="540"/>
        <w:rPr/>
      </w:pPr>
      <w:r>
        <w:rPr>
          <w:b w:val="false"/>
          <w:sz w:val="26"/>
          <w:szCs w:val="26"/>
        </w:rPr>
        <w:t>в отсутствии законного представителя Заявителя (уведомлен), представителя Заказчика (доверенность № б/н от 22.06.2016).</w:t>
      </w:r>
    </w:p>
    <w:p>
      <w:pPr>
        <w:pStyle w:val="Style22"/>
        <w:ind w:left="0" w:right="0" w:firstLine="540"/>
        <w:rPr/>
      </w:pPr>
      <w:r>
        <w:rPr>
          <w:b w:val="false"/>
          <w:sz w:val="26"/>
          <w:szCs w:val="26"/>
        </w:rPr>
        <w:t>При проведении проверки и рассмотрении жалобы заявителя, материалов дела № 01-33/21-2016 Комиссия</w:t>
      </w:r>
    </w:p>
    <w:p>
      <w:pPr>
        <w:pStyle w:val="Normal"/>
        <w:ind w:left="0" w:right="-50" w:firstLine="540"/>
        <w:jc w:val="center"/>
        <w:rPr>
          <w:b/>
          <w:b/>
          <w:sz w:val="26"/>
          <w:szCs w:val="26"/>
        </w:rPr>
      </w:pPr>
      <w:r>
        <w:rPr>
          <w:b/>
          <w:sz w:val="26"/>
          <w:szCs w:val="26"/>
        </w:rPr>
      </w:r>
    </w:p>
    <w:p>
      <w:pPr>
        <w:pStyle w:val="Normal"/>
        <w:ind w:left="0" w:right="-50" w:firstLine="540"/>
        <w:jc w:val="center"/>
        <w:rPr>
          <w:sz w:val="26"/>
          <w:szCs w:val="26"/>
        </w:rPr>
      </w:pPr>
      <w:r>
        <w:rPr>
          <w:sz w:val="26"/>
          <w:szCs w:val="26"/>
        </w:rPr>
        <w:t>УСТАНОВИЛА:</w:t>
      </w:r>
    </w:p>
    <w:p>
      <w:pPr>
        <w:pStyle w:val="Normal"/>
        <w:spacing w:before="240" w:after="0"/>
        <w:ind w:left="0" w:right="0" w:firstLine="540"/>
        <w:jc w:val="both"/>
        <w:rPr/>
      </w:pPr>
      <w:r>
        <w:rPr>
          <w:sz w:val="26"/>
          <w:szCs w:val="26"/>
        </w:rPr>
        <w:t>17.06.2016 в Управление Федеральной антимонопольной службы по Ненецкому автономному округу (далее по тексту - Ненецкое УФАС России) поступила жалоба (вх. № 1590) от Заявителя.</w:t>
      </w:r>
    </w:p>
    <w:p>
      <w:pPr>
        <w:pStyle w:val="Normal"/>
        <w:ind w:left="0" w:right="0" w:firstLine="540"/>
        <w:jc w:val="both"/>
        <w:rPr/>
      </w:pPr>
      <w:r>
        <w:rPr>
          <w:sz w:val="26"/>
          <w:szCs w:val="26"/>
        </w:rPr>
        <w:t>Доводы жалобы:</w:t>
      </w:r>
    </w:p>
    <w:p>
      <w:pPr>
        <w:pStyle w:val="Normal"/>
        <w:ind w:left="0" w:right="0" w:firstLine="540"/>
        <w:jc w:val="both"/>
        <w:rPr/>
      </w:pPr>
      <w:r>
        <w:rPr>
          <w:sz w:val="26"/>
          <w:szCs w:val="26"/>
        </w:rPr>
        <w:t xml:space="preserve">Заявитель считает, что размещение закупки № 0384200001816000148 на поставку концентратора кислородного медицинского для нужд Государственного бюджетного учреждения </w:t>
      </w:r>
      <w:r>
        <w:rPr>
          <w:bCs/>
          <w:sz w:val="26"/>
          <w:szCs w:val="26"/>
        </w:rPr>
        <w:t xml:space="preserve">здравоохранения Ненецкого автономного округа «Ненецкая окружная больница» является нарушением статьи 33 </w:t>
      </w:r>
      <w:r>
        <w:rPr>
          <w:b w:val="false"/>
          <w:bCs/>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 ввиду того, что описание объекта закупки не соответствует требованиям закона о производстве и обращении лекарственных средств, техническим требованиям изготовления кислорода медицинского, что влечет за собой снабжение лекарственным средством, не соответствующим требованиям Росздравнадзора.</w:t>
      </w:r>
    </w:p>
    <w:p>
      <w:pPr>
        <w:pStyle w:val="Normal"/>
        <w:ind w:left="0" w:right="0" w:firstLine="540"/>
        <w:jc w:val="both"/>
        <w:rPr/>
      </w:pPr>
      <w:r>
        <w:rPr>
          <w:b w:val="false"/>
          <w:bCs/>
          <w:sz w:val="26"/>
          <w:szCs w:val="26"/>
        </w:rPr>
        <w:t xml:space="preserve">Заявитель полагает, что правомерным является такое описание объекта закупки, в котором указана концентрация кислорода на выходе не менее 99,5%. </w:t>
      </w:r>
    </w:p>
    <w:p>
      <w:pPr>
        <w:pStyle w:val="Normal"/>
        <w:ind w:left="0" w:right="0" w:firstLine="540"/>
        <w:jc w:val="both"/>
        <w:rPr>
          <w:sz w:val="26"/>
          <w:szCs w:val="26"/>
        </w:rPr>
      </w:pPr>
      <w:r>
        <w:rPr>
          <w:sz w:val="26"/>
          <w:szCs w:val="26"/>
        </w:rPr>
      </w:r>
    </w:p>
    <w:p>
      <w:pPr>
        <w:pStyle w:val="Normal"/>
        <w:ind w:firstLine="540"/>
        <w:jc w:val="both"/>
        <w:rPr/>
      </w:pPr>
      <w:r>
        <w:rPr>
          <w:sz w:val="26"/>
          <w:szCs w:val="26"/>
        </w:rPr>
        <w:t>Заказчиком представлены пояснения по доводам жалобы, согласно которым нарушений законодательства РФ при формировании документации об Аукционе не допущено. Заказчик просит признать жалобу необоснованной.</w:t>
      </w:r>
    </w:p>
    <w:p>
      <w:pPr>
        <w:pStyle w:val="Normal"/>
        <w:ind w:firstLine="540"/>
        <w:jc w:val="both"/>
        <w:rPr>
          <w:sz w:val="26"/>
          <w:szCs w:val="26"/>
        </w:rPr>
      </w:pPr>
      <w:r>
        <w:rPr>
          <w:sz w:val="26"/>
          <w:szCs w:val="26"/>
        </w:rPr>
      </w:r>
    </w:p>
    <w:p>
      <w:pPr>
        <w:pStyle w:val="Normal"/>
        <w:ind w:firstLine="540"/>
        <w:jc w:val="both"/>
        <w:rPr>
          <w:sz w:val="26"/>
          <w:szCs w:val="26"/>
        </w:rPr>
      </w:pPr>
      <w:r>
        <w:rPr>
          <w:sz w:val="26"/>
          <w:szCs w:val="26"/>
        </w:rPr>
      </w:r>
    </w:p>
    <w:p>
      <w:pPr>
        <w:pStyle w:val="Normal"/>
        <w:ind w:firstLine="540"/>
        <w:jc w:val="both"/>
        <w:rPr>
          <w:sz w:val="26"/>
          <w:szCs w:val="26"/>
        </w:rPr>
      </w:pPr>
      <w:r>
        <w:rPr>
          <w:sz w:val="26"/>
          <w:szCs w:val="26"/>
        </w:rPr>
      </w:r>
    </w:p>
    <w:p>
      <w:pPr>
        <w:pStyle w:val="Normal"/>
        <w:ind w:firstLine="540"/>
        <w:jc w:val="both"/>
        <w:rPr>
          <w:sz w:val="26"/>
          <w:szCs w:val="26"/>
        </w:rPr>
      </w:pPr>
      <w:r>
        <w:rPr>
          <w:sz w:val="26"/>
          <w:szCs w:val="26"/>
        </w:rPr>
        <w:t>Согласно статьи 8 Закона о контрактной системе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Normal"/>
        <w:ind w:firstLine="540"/>
        <w:jc w:val="both"/>
        <w:rPr/>
      </w:pPr>
      <w:r>
        <w:rPr>
          <w:sz w:val="26"/>
          <w:szCs w:val="26"/>
        </w:rPr>
        <w:t>В соответствии с пунктом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Normal"/>
        <w:ind w:firstLine="540"/>
        <w:jc w:val="both"/>
        <w:rPr>
          <w:sz w:val="26"/>
          <w:szCs w:val="26"/>
        </w:rPr>
      </w:pPr>
      <w:r>
        <w:rPr>
          <w:sz w:val="26"/>
          <w:szCs w:val="26"/>
        </w:rPr>
        <w:t xml:space="preserve">Согласно части 2 статьи 33 Закона о контрактной системе документация о закупке в соответствии с требованиями, указанными в </w:t>
      </w:r>
      <w:r>
        <w:rPr>
          <w:color w:val="0000FF"/>
          <w:sz w:val="26"/>
          <w:szCs w:val="26"/>
        </w:rPr>
        <w:t>части 1</w:t>
      </w:r>
      <w:r>
        <w:rPr>
          <w:sz w:val="26"/>
          <w:szCs w:val="26"/>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pPr>
        <w:pStyle w:val="Normal"/>
        <w:ind w:firstLine="540"/>
        <w:jc w:val="both"/>
        <w:rPr>
          <w:sz w:val="26"/>
          <w:szCs w:val="26"/>
        </w:rPr>
      </w:pPr>
      <w:r>
        <w:rPr>
          <w:sz w:val="26"/>
          <w:szCs w:val="26"/>
        </w:rPr>
        <w:t xml:space="preserve">Заказчиком в пункте 1.2.2 Технического задания ЧАСТИ </w:t>
      </w:r>
      <w:r>
        <w:rPr>
          <w:sz w:val="26"/>
          <w:szCs w:val="26"/>
          <w:lang w:val="en-US"/>
        </w:rPr>
        <w:t xml:space="preserve">III </w:t>
      </w:r>
      <w:r>
        <w:rPr>
          <w:sz w:val="26"/>
          <w:szCs w:val="26"/>
          <w:lang w:val="ru-RU"/>
        </w:rPr>
        <w:t>Техническая часть установлено требование к концентрации кислорода в газе не менее 95%.</w:t>
      </w:r>
    </w:p>
    <w:p>
      <w:pPr>
        <w:pStyle w:val="Normal"/>
        <w:ind w:firstLine="540"/>
        <w:jc w:val="both"/>
        <w:rPr>
          <w:rFonts w:ascii="Times New Roman" w:hAnsi="Times New Roman"/>
          <w:sz w:val="26"/>
          <w:szCs w:val="26"/>
        </w:rPr>
      </w:pPr>
      <w:r>
        <w:rPr>
          <w:sz w:val="26"/>
          <w:szCs w:val="26"/>
          <w:lang w:val="ru-RU"/>
        </w:rPr>
        <w:t>К</w:t>
      </w:r>
      <w:r>
        <w:rPr>
          <w:sz w:val="26"/>
          <w:szCs w:val="26"/>
        </w:rPr>
        <w:t>омиссия находит заслуживающими доводы представителя Заказчика о том, что, в данном случае к поставке требуется медицинское изделие, а не лекарственное средство – кислород газообразный медицинский, содержание которого до 95 % является нарушением действующего законодательства.</w:t>
      </w:r>
    </w:p>
    <w:p>
      <w:pPr>
        <w:pStyle w:val="Normal"/>
        <w:ind w:firstLine="540"/>
        <w:jc w:val="both"/>
        <w:rPr>
          <w:rFonts w:ascii="Times New Roman" w:hAnsi="Times New Roman"/>
          <w:sz w:val="26"/>
          <w:szCs w:val="26"/>
        </w:rPr>
      </w:pPr>
      <w:r>
        <w:rPr>
          <w:sz w:val="26"/>
          <w:szCs w:val="26"/>
        </w:rPr>
        <w:t>Данные письма от 08.10.2015 № И42-1440/15 Территориального органа Федеральной службы по надзору в сфере здравоохранения по Кемеровской области (приложение к жалобе заявителя) разъясняют вопросы производства и оборота лекарственного средства – кислорода медицинского и не распространяются на осуществление закупок медицинских изделий в рамках Закона о контрактной системе в сфере закупок.</w:t>
      </w:r>
    </w:p>
    <w:p>
      <w:pPr>
        <w:pStyle w:val="Normal"/>
        <w:ind w:firstLine="540"/>
        <w:jc w:val="both"/>
        <w:rPr>
          <w:sz w:val="26"/>
          <w:szCs w:val="26"/>
        </w:rPr>
      </w:pPr>
      <w:r>
        <w:rPr>
          <w:sz w:val="26"/>
          <w:szCs w:val="26"/>
          <w:lang w:val="ru-RU"/>
        </w:rPr>
        <w:t>Кислородный концентратор относится к изделиям медицинского назначения, которое применяется в практике лечебных учреждений, данное оборудование имеет регистрационное удостоверение и включено в государственный реестр зарегистрированных изделий медицинского назначения.</w:t>
      </w:r>
    </w:p>
    <w:p>
      <w:pPr>
        <w:pStyle w:val="Normal"/>
        <w:ind w:firstLine="540"/>
        <w:jc w:val="both"/>
        <w:rPr>
          <w:rFonts w:ascii="Times New Roman" w:hAnsi="Times New Roman"/>
          <w:sz w:val="26"/>
          <w:szCs w:val="26"/>
        </w:rPr>
      </w:pPr>
      <w:r>
        <w:rPr>
          <w:sz w:val="26"/>
          <w:szCs w:val="26"/>
        </w:rPr>
        <w:t>Входе проверки аукционной документации, Комиссия Ненецкого УФАС установила, что в пункте «</w:t>
      </w:r>
      <w:r>
        <w:rPr>
          <w:b w:val="false"/>
          <w:bCs w:val="false"/>
          <w:color w:val="000000"/>
          <w:sz w:val="26"/>
          <w:szCs w:val="26"/>
        </w:rPr>
        <w:t>Требования к содержанию и составу заявки, инструкция по её заполнению. Язык документов, входящих в состав заявки»</w:t>
      </w:r>
      <w:r>
        <w:rPr>
          <w:sz w:val="26"/>
          <w:szCs w:val="26"/>
        </w:rPr>
        <w:t xml:space="preserve"> «Информационная карта» аукционной документации, заказчиком установлены требования к содержанию и составу заявки на участие в электронном аукционе, согласно которым вторая часть заявки должна содержать </w:t>
      </w:r>
      <w:r>
        <w:rPr>
          <w:rFonts w:ascii="DejaVuSans" w:hAnsi="DejaVuSans"/>
          <w:sz w:val="25"/>
          <w:szCs w:val="26"/>
          <w:lang w:val="ru-RU"/>
        </w:rPr>
        <w:t xml:space="preserve"> </w:t>
      </w:r>
      <w:r>
        <w:rPr>
          <w:b/>
          <w:sz w:val="26"/>
          <w:szCs w:val="26"/>
          <w:lang w:val="ru-RU"/>
        </w:rPr>
        <w:t>копии регистрационных удостоверений на предлагаемый к поставке товар.</w:t>
      </w:r>
    </w:p>
    <w:p>
      <w:pPr>
        <w:pStyle w:val="Normal"/>
        <w:ind w:firstLine="540"/>
        <w:jc w:val="both"/>
        <w:rPr/>
      </w:pPr>
      <w:r>
        <w:rPr>
          <w:sz w:val="26"/>
          <w:szCs w:val="26"/>
        </w:rPr>
        <w:t xml:space="preserve">Приложение </w:t>
      </w:r>
      <w:r>
        <w:rPr>
          <w:b w:val="false"/>
          <w:bCs w:val="false"/>
          <w:sz w:val="26"/>
          <w:szCs w:val="26"/>
          <w:lang w:val="ru-RU"/>
        </w:rPr>
        <w:t xml:space="preserve">№ 6 Правил надлежащей производственной практики Утвержденных </w:t>
      </w:r>
      <w:r>
        <w:rPr>
          <w:sz w:val="26"/>
          <w:szCs w:val="26"/>
        </w:rPr>
        <w:t>приказом Минпромторга России от 14 июня 2013 г. № 916, регулирует производство газов как фармацевтических субстанций и производство газов для медицинского применения. Производство медицинских газов, относящихся к лекарственным средствам, необходимо осуществлять согласно соответствующим нормативным правовым актам Российской Федерации.</w:t>
      </w:r>
      <w:r>
        <w:rPr/>
        <w:t xml:space="preserve"> </w:t>
      </w:r>
      <w:r>
        <w:rPr>
          <w:sz w:val="26"/>
          <w:szCs w:val="26"/>
        </w:rPr>
        <w:t xml:space="preserve">Настоящее Приложение </w:t>
      </w:r>
      <w:r>
        <w:rPr>
          <w:b/>
          <w:bCs/>
          <w:sz w:val="26"/>
          <w:szCs w:val="26"/>
        </w:rPr>
        <w:t>не распространяется на получение и обращение медицинских газов в медицинских организациях</w:t>
      </w:r>
      <w:r>
        <w:rPr>
          <w:sz w:val="26"/>
          <w:szCs w:val="26"/>
        </w:rPr>
        <w:t>, если такой процесс не является промышленным производством.</w:t>
      </w:r>
    </w:p>
    <w:p>
      <w:pPr>
        <w:pStyle w:val="Normal"/>
        <w:ind w:firstLine="540"/>
        <w:jc w:val="both"/>
        <w:rPr>
          <w:rFonts w:ascii="Times New Roman" w:hAnsi="Times New Roman"/>
          <w:sz w:val="26"/>
          <w:szCs w:val="26"/>
        </w:rPr>
      </w:pPr>
      <w:r>
        <w:rPr>
          <w:sz w:val="26"/>
          <w:szCs w:val="26"/>
        </w:rPr>
        <w:t>Таким образом, получение и обращение медицинских газов в медицинских организациях не подлежит лицензированию. Лицензированию подлежит исключительно промышленное производство медицинских газов медицинскими организациями с целью введения их в гражданский оборот.</w:t>
      </w:r>
    </w:p>
    <w:p>
      <w:pPr>
        <w:pStyle w:val="Normal"/>
        <w:ind w:firstLine="540"/>
        <w:jc w:val="both"/>
        <w:rPr>
          <w:rFonts w:ascii="Times New Roman" w:hAnsi="Times New Roman"/>
          <w:sz w:val="26"/>
          <w:szCs w:val="26"/>
        </w:rPr>
      </w:pPr>
      <w:r>
        <w:rPr>
          <w:sz w:val="26"/>
          <w:szCs w:val="26"/>
        </w:rPr>
        <w:t>В силу пункта 1 части 1 статьи 99 Закона о контрактной системе в сфере закупок Ненецкое УФАС России наделено полномочиями по осуществлению контроля в сфере закупок и не является органом, осуществляющим контроль за соблюдением законодательства, регламентирующего производство и обращение лекарственных средств.</w:t>
      </w:r>
    </w:p>
    <w:p>
      <w:pPr>
        <w:pStyle w:val="Normal"/>
        <w:ind w:firstLine="540"/>
        <w:jc w:val="both"/>
        <w:rPr>
          <w:rFonts w:ascii="Times New Roman" w:hAnsi="Times New Roman"/>
          <w:sz w:val="26"/>
          <w:szCs w:val="26"/>
        </w:rPr>
      </w:pPr>
      <w:r>
        <w:rPr>
          <w:rFonts w:eastAsia="Times New Roman" w:cs="Times New Roman"/>
          <w:color w:val="000000"/>
          <w:spacing w:val="-1"/>
          <w:sz w:val="26"/>
          <w:szCs w:val="26"/>
          <w:lang w:eastAsia="ru-RU"/>
        </w:rPr>
        <w:t>В</w:t>
      </w:r>
      <w:r>
        <w:rPr>
          <w:sz w:val="26"/>
          <w:szCs w:val="26"/>
        </w:rPr>
        <w:t xml:space="preserve"> результате рассмотрения жалобы по существу заявленных требований и проведения внеплановой проверки закупки Комиссией Ненецкого УФАС России в действиях заказчика не выявлено нарушений требований Закона о контрактной системе в сфере закупок.</w:t>
      </w:r>
    </w:p>
    <w:p>
      <w:pPr>
        <w:pStyle w:val="Normal"/>
        <w:jc w:val="both"/>
        <w:rPr/>
      </w:pPr>
      <w:r>
        <w:rPr>
          <w:sz w:val="24"/>
        </w:rPr>
        <w:tab/>
      </w:r>
    </w:p>
    <w:p>
      <w:pPr>
        <w:pStyle w:val="Normal"/>
        <w:ind w:left="0" w:right="0" w:firstLine="540"/>
        <w:jc w:val="both"/>
        <w:rPr/>
      </w:pPr>
      <w:r>
        <w:rPr>
          <w:sz w:val="26"/>
          <w:szCs w:val="26"/>
        </w:rPr>
        <w:t>На основании изложенного выше, руководствуясь частью 8 статьи 106 Закона о контрактной системе, Комиссия,</w:t>
      </w:r>
    </w:p>
    <w:p>
      <w:pPr>
        <w:pStyle w:val="Normal"/>
        <w:ind w:left="0" w:right="0" w:firstLine="540"/>
        <w:rPr>
          <w:sz w:val="26"/>
          <w:szCs w:val="26"/>
        </w:rPr>
      </w:pPr>
      <w:r>
        <w:rPr>
          <w:sz w:val="26"/>
          <w:szCs w:val="26"/>
        </w:rPr>
      </w:r>
    </w:p>
    <w:p>
      <w:pPr>
        <w:pStyle w:val="Normal"/>
        <w:ind w:left="0" w:right="0" w:firstLine="540"/>
        <w:jc w:val="center"/>
        <w:rPr>
          <w:sz w:val="26"/>
          <w:szCs w:val="26"/>
        </w:rPr>
      </w:pPr>
      <w:r>
        <w:rPr>
          <w:sz w:val="26"/>
          <w:szCs w:val="26"/>
        </w:rPr>
        <w:t>РЕШИЛА:</w:t>
      </w:r>
    </w:p>
    <w:p>
      <w:pPr>
        <w:pStyle w:val="Normal"/>
        <w:ind w:left="0" w:right="0" w:firstLine="540"/>
        <w:jc w:val="center"/>
        <w:rPr>
          <w:sz w:val="26"/>
          <w:szCs w:val="26"/>
        </w:rPr>
      </w:pPr>
      <w:r>
        <w:rPr>
          <w:sz w:val="26"/>
          <w:szCs w:val="26"/>
        </w:rPr>
      </w:r>
    </w:p>
    <w:p>
      <w:pPr>
        <w:pStyle w:val="ConsPlusNormal"/>
        <w:ind w:left="0" w:right="0" w:firstLine="540"/>
        <w:jc w:val="both"/>
        <w:rPr>
          <w:rFonts w:ascii="Times New Roman" w:hAnsi="Times New Roman" w:cs="Times New Roman"/>
          <w:sz w:val="26"/>
          <w:szCs w:val="26"/>
        </w:rPr>
      </w:pPr>
      <w:r>
        <w:rPr>
          <w:rFonts w:cs="Times New Roman" w:ascii="Times New Roman" w:hAnsi="Times New Roman"/>
          <w:sz w:val="26"/>
          <w:szCs w:val="26"/>
        </w:rPr>
        <w:t>Признать жалобу заявителя необоснованной.</w:t>
      </w:r>
    </w:p>
    <w:p>
      <w:pPr>
        <w:pStyle w:val="ConsPlusNormal"/>
        <w:ind w:left="0" w:right="0" w:firstLine="540"/>
        <w:jc w:val="both"/>
        <w:rPr>
          <w:rFonts w:ascii="Times New Roman" w:hAnsi="Times New Roman" w:cs="Times New Roman"/>
          <w:i/>
          <w:i/>
          <w:sz w:val="26"/>
          <w:szCs w:val="26"/>
        </w:rPr>
      </w:pPr>
      <w:r>
        <w:rPr>
          <w:rFonts w:cs="Times New Roman" w:ascii="Times New Roman" w:hAnsi="Times New Roman"/>
          <w:i/>
          <w:sz w:val="26"/>
          <w:szCs w:val="26"/>
        </w:rPr>
      </w:r>
    </w:p>
    <w:p>
      <w:pPr>
        <w:pStyle w:val="ConsPlusNormal"/>
        <w:ind w:left="0" w:right="0" w:firstLine="540"/>
        <w:jc w:val="both"/>
        <w:rPr>
          <w:rFonts w:ascii="Times New Roman" w:hAnsi="Times New Roman" w:cs="Times New Roman"/>
          <w:i/>
          <w:i/>
          <w:sz w:val="26"/>
          <w:szCs w:val="26"/>
        </w:rPr>
      </w:pPr>
      <w:r>
        <w:rPr>
          <w:rFonts w:cs="Times New Roman" w:ascii="Times New Roman" w:hAnsi="Times New Roman"/>
          <w:i/>
          <w:sz w:val="26"/>
          <w:szCs w:val="26"/>
        </w:rPr>
        <w:t xml:space="preserve">Настоящее решение может быть обжаловано в Арбитражный суд Архангельской области в течение трех месяцев со дня его принятия. </w:t>
      </w:r>
    </w:p>
    <w:p>
      <w:pPr>
        <w:pStyle w:val="Normal"/>
        <w:rPr>
          <w:rFonts w:ascii="Times New Roman" w:hAnsi="Times New Roman" w:cs="Times New Roman"/>
          <w:i/>
          <w:i/>
          <w:sz w:val="26"/>
          <w:szCs w:val="26"/>
        </w:rPr>
      </w:pPr>
      <w:r>
        <w:rPr>
          <w:rFonts w:cs="Times New Roman"/>
          <w:i/>
          <w:sz w:val="26"/>
          <w:szCs w:val="26"/>
        </w:rPr>
      </w:r>
    </w:p>
    <w:p>
      <w:pPr>
        <w:pStyle w:val="Normal"/>
        <w:rPr>
          <w:sz w:val="26"/>
          <w:szCs w:val="26"/>
        </w:rPr>
      </w:pPr>
      <w:r>
        <w:rPr>
          <w:sz w:val="26"/>
          <w:szCs w:val="2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10"/>
      <w:footerReference w:type="default" r:id="rId11"/>
      <w:type w:val="nextPage"/>
      <w:pgSz w:w="11906" w:h="16838"/>
      <w:pgMar w:left="1701" w:right="567" w:header="709" w:top="851" w:footer="709"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DejaVuSan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4"/>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0"/>
      <w:szCs w:val="20"/>
      <w:lang w:val="ru-RU" w:eastAsia="zh-CN" w:bidi="ar-SA"/>
    </w:rPr>
  </w:style>
  <w:style w:type="paragraph" w:styleId="3">
    <w:name w:val="Heading 3"/>
    <w:basedOn w:val="Normal"/>
    <w:next w:val="Normal"/>
    <w:qFormat/>
    <w:pPr>
      <w:keepNext/>
      <w:numPr>
        <w:ilvl w:val="2"/>
        <w:numId w:val="1"/>
      </w:numPr>
      <w:jc w:val="center"/>
      <w:outlineLvl w:val="2"/>
      <w:outlineLvl w:val="2"/>
    </w:pPr>
    <w:rPr>
      <w:b/>
      <w:sz w:val="28"/>
    </w:rPr>
  </w:style>
  <w:style w:type="character" w:styleId="WW8Num1z0">
    <w:name w:val="WW8Num1z0"/>
    <w:qFormat/>
    <w:rPr>
      <w:rFonts w:ascii="Times New Roman" w:hAnsi="Times New Roman" w:eastAsia="Calibri" w:cs="Times New Roman"/>
      <w:sz w:val="26"/>
      <w:szCs w:val="2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Основной шрифт абзаца"/>
    <w:qFormat/>
    <w:rPr/>
  </w:style>
  <w:style w:type="character" w:styleId="Style14">
    <w:name w:val="Интернет-ссылка"/>
    <w:rPr>
      <w:rFonts w:cs="Times New Roman"/>
      <w:color w:val="0000FF"/>
      <w:u w:val="single"/>
    </w:rPr>
  </w:style>
  <w:style w:type="character" w:styleId="Spellcheckerwordhighlight">
    <w:name w:val="spellchecker-word-highlight"/>
    <w:basedOn w:val="Style13"/>
    <w:qFormat/>
    <w:rPr/>
  </w:style>
  <w:style w:type="character" w:styleId="Appleconvertedspace">
    <w:name w:val="apple-converted-space"/>
    <w:basedOn w:val="Style13"/>
    <w:qFormat/>
    <w:rPr/>
  </w:style>
  <w:style w:type="character" w:styleId="Blk">
    <w:name w:val="blk"/>
    <w:basedOn w:val="Style13"/>
    <w:qFormat/>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before="0" w:after="120"/>
    </w:pPr>
    <w:rPr>
      <w:sz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Header"/>
    <w:basedOn w:val="Normal"/>
    <w:pPr>
      <w:tabs>
        <w:tab w:val="center" w:pos="4677" w:leader="none"/>
        <w:tab w:val="right" w:pos="9355" w:leader="none"/>
      </w:tabs>
    </w:pPr>
    <w:rPr/>
  </w:style>
  <w:style w:type="paragraph" w:styleId="Style21">
    <w:name w:val="Footer"/>
    <w:basedOn w:val="Normal"/>
    <w:pPr>
      <w:tabs>
        <w:tab w:val="center" w:pos="4677" w:leader="none"/>
        <w:tab w:val="right" w:pos="9355" w:leader="none"/>
      </w:tabs>
    </w:pPr>
    <w:rPr/>
  </w:style>
  <w:style w:type="paragraph" w:styleId="Style22">
    <w:name w:val="Адресат вверху"/>
    <w:basedOn w:val="Normal"/>
    <w:qFormat/>
    <w:pPr>
      <w:suppressAutoHyphens w:val="true"/>
      <w:jc w:val="both"/>
    </w:pPr>
    <w:rPr>
      <w:b/>
      <w:sz w:val="24"/>
    </w:rPr>
  </w:style>
  <w:style w:type="paragraph" w:styleId="ConsPlusNormal">
    <w:name w:val="ConsPlusNormal"/>
    <w:qFormat/>
    <w:pPr>
      <w:widowControl w:val="false"/>
      <w:overflowPunct w:val="false"/>
      <w:bidi w:val="0"/>
      <w:jc w:val="left"/>
    </w:pPr>
    <w:rPr>
      <w:rFonts w:ascii="Arial" w:hAnsi="Arial" w:eastAsia="Times New Roman" w:cs="Arial"/>
      <w:color w:val="00000A"/>
      <w:sz w:val="20"/>
      <w:szCs w:val="20"/>
      <w:lang w:val="ru-RU" w:eastAsia="zh-CN" w:bidi="ar-SA"/>
    </w:rPr>
  </w:style>
  <w:style w:type="paragraph" w:styleId="Parameter">
    <w:name w:val="parameter"/>
    <w:basedOn w:val="Normal"/>
    <w:qFormat/>
    <w:pPr>
      <w:spacing w:before="280" w:after="280"/>
    </w:pPr>
    <w:rPr>
      <w:sz w:val="24"/>
      <w:szCs w:val="24"/>
    </w:rPr>
  </w:style>
  <w:style w:type="paragraph" w:styleId="Parametervalue">
    <w:name w:val="parametervalue"/>
    <w:basedOn w:val="Normal"/>
    <w:qFormat/>
    <w:pPr>
      <w:spacing w:before="280" w:after="280"/>
    </w:pPr>
    <w:rPr>
      <w:sz w:val="24"/>
      <w:szCs w:val="24"/>
    </w:rPr>
  </w:style>
  <w:style w:type="paragraph" w:styleId="Style23">
    <w:name w:val="Обычный (веб)"/>
    <w:basedOn w:val="Normal"/>
    <w:qFormat/>
    <w:pPr>
      <w:spacing w:before="280" w:after="280"/>
    </w:pPr>
    <w:rPr>
      <w:sz w:val="24"/>
      <w:szCs w:val="24"/>
    </w:rPr>
  </w:style>
  <w:style w:type="paragraph" w:styleId="20">
    <w:name w:val="20"/>
    <w:basedOn w:val="Normal"/>
    <w:qFormat/>
    <w:pPr>
      <w:spacing w:before="280" w:after="280"/>
    </w:pPr>
    <w:rPr>
      <w:rFonts w:eastAsia="Calibri"/>
      <w:sz w:val="24"/>
      <w:szCs w:val="24"/>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00000A"/>
      <w:sz w:val="20"/>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00000A"/>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00000A"/>
      <w:sz w:val="20"/>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00000A"/>
      <w:sz w:val="26"/>
      <w:szCs w:val="24"/>
      <w:u w:val="none"/>
      <w:lang w:val="ru-RU"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zakupki.gov.ru/" TargetMode="External"/><Relationship Id="rId4" Type="http://schemas.openxmlformats.org/officeDocument/2006/relationships/hyperlink" Target="http://www.zakupki.gov.ru/" TargetMode="External"/><Relationship Id="rId5" Type="http://schemas.openxmlformats.org/officeDocument/2006/relationships/hyperlink" Target="http://www.zakupki.gov.ru/" TargetMode="External"/><Relationship Id="rId6" Type="http://schemas.openxmlformats.org/officeDocument/2006/relationships/hyperlink" Target="http://www.zakupki.gov.ru/" TargetMode="External"/><Relationship Id="rId7" Type="http://schemas.openxmlformats.org/officeDocument/2006/relationships/hyperlink" Target="http://www.zakupki.gov.ru/" TargetMode="External"/><Relationship Id="rId8" Type="http://schemas.openxmlformats.org/officeDocument/2006/relationships/hyperlink" Target="http://www.zakupki.gov.ru/" TargetMode="External"/><Relationship Id="rId9" Type="http://schemas.openxmlformats.org/officeDocument/2006/relationships/hyperlink" Target="http://www.zakupki.gov.r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LibreOffice/5.1.2.2$Windows_X86_64 LibreOffice_project/d3bf12ecb743fc0d20e0be0c58ca359301eb705f</Application>
  <Pages>4</Pages>
  <Words>1150</Words>
  <Characters>8351</Characters>
  <CharactersWithSpaces>9568</CharactersWithSpaces>
  <Paragraphs>53</Paragraphs>
  <Company>КонсультантПлюс Версия 4015.00.09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2016-06-24T15:32:00Z</dcterms:created>
  <dc:creator>USER</dc:creator>
  <dc:description/>
  <dc:language>ru-RU</dc:language>
  <cp:lastModifiedBy/>
  <cp:lastPrinted>2016-04-28T10:04:00Z</cp:lastPrinted>
  <dcterms:modified xsi:type="dcterms:W3CDTF">2016-06-29T08:51:54Z</dcterms:modified>
  <cp:revision>9</cp:revision>
  <dc:subject/>
  <dc:title>Приказ Минпромторга России от 14.06.2013 N 916(ред. от 18.12.2015)"Об утверждении Правил надлежащей производственной практики"(Зарегистрировано в Минюсте России 10.09.2013 N 29938)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4015.00.09</vt:lpwstr>
  </property>
</Properties>
</file>