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2574290</wp:posOffset>
            </wp:positionH>
            <wp:positionV relativeFrom="paragraph">
              <wp:posOffset>5080</wp:posOffset>
            </wp:positionV>
            <wp:extent cx="685800" cy="67818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fill="auto" w:val="clear"/>
          </w:tcPr>
          <w:p>
            <w:pPr>
              <w:pStyle w:val="Style16"/>
              <w:jc w:val="center"/>
              <w:rPr>
                <w:b/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3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>
            <w:pPr>
              <w:pStyle w:val="Normal"/>
              <w:jc w:val="center"/>
              <w:rPr>
                <w:color w:val="0066CC"/>
                <w:sz w:val="22"/>
              </w:rPr>
            </w:pPr>
            <w:r>
              <w:rPr>
                <w:color w:val="0066CC"/>
                <w:sz w:val="22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отказе во включении сведений в реестр недобросовестных поставщиков</w:t>
            </w:r>
          </w:p>
          <w:p>
            <w:pPr>
              <w:pStyle w:val="Normal"/>
              <w:jc w:val="center"/>
              <w:rPr>
                <w:bCs/>
                <w:color w:val="0066CC"/>
                <w:sz w:val="26"/>
                <w:szCs w:val="26"/>
              </w:rPr>
            </w:pPr>
            <w:r>
              <w:rPr>
                <w:bCs/>
                <w:color w:val="0066CC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0066CC"/>
                <w:sz w:val="22"/>
                <w:szCs w:val="26"/>
              </w:rPr>
            </w:pPr>
            <w:r>
              <w:rPr>
                <w:color w:val="0066CC"/>
                <w:sz w:val="22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06.06.2016 г.</w:t>
            </w:r>
            <w:r>
              <w:rPr>
                <w:sz w:val="22"/>
              </w:rPr>
              <w:t xml:space="preserve">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№ РНП-83-09/2016</w:t>
            </w:r>
          </w:p>
        </w:tc>
      </w:tr>
    </w:tbl>
    <w:p>
      <w:pPr>
        <w:pStyle w:val="Normal"/>
        <w:rPr>
          <w:sz w:val="16"/>
          <w:lang w:val="ru-RU" w:eastAsia="ru-RU"/>
        </w:rPr>
      </w:pPr>
      <w:r>
        <w:rPr>
          <w:sz w:val="16"/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</w:r>
      <w:r>
        <w:rPr>
          <w:bCs/>
          <w:sz w:val="26"/>
          <w:szCs w:val="26"/>
        </w:rPr>
        <w:t>г. Нарьян-Мар</w:t>
      </w:r>
    </w:p>
    <w:p>
      <w:pPr>
        <w:pStyle w:val="Normal"/>
        <w:jc w:val="center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22"/>
        <w:ind w:firstLine="840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  <w:t xml:space="preserve">Комиссия Управления Федеральной антимонопольной службы по Ненецкому автономному округу по рассмотрению сведений о недобросовестном поставщике (далее – Комиссия) в составе: 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Председатель Комиссии: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/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Члены Комиссии: </w:t>
      </w:r>
    </w:p>
    <w:p>
      <w:pPr>
        <w:pStyle w:val="Style22"/>
        <w:ind w:hanging="0"/>
        <w:rPr/>
      </w:pPr>
      <w:r>
        <w:rPr>
          <w:b w:val="false"/>
          <w:sz w:val="26"/>
          <w:szCs w:val="26"/>
        </w:rPr>
        <w:t xml:space="preserve"> </w:t>
      </w:r>
    </w:p>
    <w:p>
      <w:pPr>
        <w:pStyle w:val="Style22"/>
        <w:ind w:hanging="0"/>
        <w:rPr/>
      </w:pPr>
      <w:r>
        <w:rPr>
          <w:b w:val="false"/>
          <w:sz w:val="26"/>
          <w:szCs w:val="26"/>
        </w:rPr>
        <w:t>проведя проверку и рассмотрев в присутствии представителя участника закупки Общества с ограниченной ответственностью «Гермес»</w:t>
      </w:r>
      <w:r>
        <w:rPr>
          <w:b w:val="false"/>
          <w:iCs/>
          <w:sz w:val="26"/>
          <w:szCs w:val="26"/>
        </w:rPr>
        <w:t xml:space="preserve"> (далее по тексту — ООО «Гермес»)</w:t>
      </w:r>
      <w:r>
        <w:rPr>
          <w:b w:val="false"/>
          <w:sz w:val="26"/>
          <w:szCs w:val="26"/>
        </w:rPr>
        <w:t xml:space="preserve"> (Доверенность № б/н от 01.06.2016), в присутствии представителей заказчика Департамента здравоохранения, труда и социальной защиты населения Ненецкого автономного округа (Доверенность № б/н от 06.06.2016 г., довереность № б/н) от 06.06.2016 г.), представленную </w:t>
      </w:r>
      <w:r>
        <w:rPr>
          <w:b w:val="false"/>
          <w:iCs/>
          <w:sz w:val="26"/>
          <w:szCs w:val="26"/>
        </w:rPr>
        <w:t>заказчиком</w:t>
      </w:r>
      <w:r>
        <w:rPr>
          <w:b w:val="false"/>
          <w:sz w:val="26"/>
          <w:szCs w:val="26"/>
        </w:rPr>
        <w:t xml:space="preserve"> информацию о включении в реестр недобросовестных поставщиков сведений об участнике закупки № 0184200000616000105, в соответствии со статьей 104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системе),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исполнителей)»,</w:t>
      </w:r>
    </w:p>
    <w:p>
      <w:pPr>
        <w:pStyle w:val="Style22"/>
        <w:ind w:left="0" w:right="0" w:firstLine="54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-50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УСТАНОВИЛА: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ConsPlusNormal"/>
        <w:spacing w:before="0" w:after="0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Управление Федеральной антимонопольной службы по Ненецкому автономному округу 26 мая 2016 года обратился </w:t>
      </w:r>
      <w:r>
        <w:rPr>
          <w:rFonts w:ascii="Times New Roman" w:hAnsi="Times New Roman"/>
          <w:b w:val="false"/>
          <w:sz w:val="26"/>
          <w:szCs w:val="26"/>
        </w:rPr>
        <w:t>Департамент здравоохранения, труда и социальной защиты населения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(далее - Заказчик) (вх. N 1433 от 25.05.2016 года) с обращением о включении в реестр недобросовестных поставщиков информации об Обществе с ограниченной ответственностью </w:t>
      </w:r>
      <w:r>
        <w:rPr>
          <w:rFonts w:ascii="Times New Roman" w:hAnsi="Times New Roman"/>
          <w:b w:val="false"/>
          <w:sz w:val="26"/>
          <w:szCs w:val="26"/>
        </w:rPr>
        <w:t>«Гермес»</w:t>
      </w:r>
      <w:r>
        <w:rPr>
          <w:rFonts w:ascii="Times New Roman" w:hAnsi="Times New Roman"/>
          <w:sz w:val="26"/>
          <w:szCs w:val="26"/>
        </w:rPr>
        <w:t xml:space="preserve">, в связи с уклонением от подписания государственного контракта на оказание услуг по предоставлению льготного проживания в гостинице отдельных категорий граждан вне срока, указанного в </w:t>
      </w:r>
      <w:r>
        <w:rPr>
          <w:rFonts w:ascii="Times New Roman" w:hAnsi="Times New Roman"/>
          <w:color w:val="0000FF"/>
          <w:sz w:val="26"/>
          <w:szCs w:val="26"/>
        </w:rPr>
        <w:t>части 13 статьи 70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(номер извещения </w:t>
      </w:r>
      <w:r>
        <w:rPr>
          <w:rFonts w:ascii="Times New Roman" w:hAnsi="Times New Roman"/>
          <w:b w:val="false"/>
          <w:sz w:val="26"/>
          <w:szCs w:val="26"/>
        </w:rPr>
        <w:t>№ 0184200000616000105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22"/>
        <w:spacing w:before="0" w:after="0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  <w:tab/>
        <w:t>Общество с ограниченной ответственностью «Гермес»,  Департамент здравоохранения, труда и социальной защиты населения Ненецкого автономного округа надлежащим образом извещены о времени и месте рассмотрения обращения.</w:t>
      </w:r>
    </w:p>
    <w:p>
      <w:pPr>
        <w:pStyle w:val="Style22"/>
        <w:spacing w:before="0" w:after="0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  <w:tab/>
        <w:t>Согласно извещению №  0184200000616000105:</w:t>
      </w:r>
    </w:p>
    <w:p>
      <w:pPr>
        <w:pStyle w:val="Style22"/>
        <w:spacing w:before="0" w:after="0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  <w:tab/>
        <w:t>Заказчик - Департамент здравоохранения, труда и социальной защиты населения Ненецкого автономного округа.</w:t>
      </w:r>
    </w:p>
    <w:p>
      <w:pPr>
        <w:pStyle w:val="Style22"/>
        <w:spacing w:before="0" w:after="0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  <w:tab/>
        <w:t>Предмет закупки -  Оказание услуг по предоставлению льготного проживания в гостинице отдельных категорий граждан.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  <w:t xml:space="preserve"> </w:t>
      </w:r>
      <w:r>
        <w:rPr>
          <w:b w:val="false"/>
          <w:sz w:val="26"/>
          <w:szCs w:val="26"/>
        </w:rPr>
        <w:t>Способ определения поставщика (подрядчика, исполнителя) - электронный аукцион.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sz w:val="26"/>
          <w:szCs w:val="26"/>
        </w:rPr>
        <w:t>Начальная (максимальная) цена контракта – 2 899 800,00 рублей.</w:t>
      </w:r>
    </w:p>
    <w:p>
      <w:pPr>
        <w:pStyle w:val="Normal"/>
        <w:spacing w:before="0" w:after="0"/>
        <w:ind w:firstLine="600"/>
        <w:jc w:val="both"/>
        <w:rPr/>
      </w:pPr>
      <w:r>
        <w:rPr>
          <w:b w:val="false"/>
          <w:sz w:val="26"/>
          <w:szCs w:val="26"/>
        </w:rPr>
        <w:t xml:space="preserve">В соответствии с протоколом подведения итогов аукциона в электронной форме от 05.05.2016 года, руководствуясь частью 13 статьи 69 Закона о контрактной системе, аукциона комиссия признала аукцион не состоявшимся. Заявка с порядковым номером 2, поданная ООО «Гермес» признана соответствующей требованиям, установленным документацией об аукционе. Таким образом, государственный контракт заключается </w:t>
      </w:r>
      <w:r>
        <w:rPr>
          <w:b w:val="false"/>
        </w:rPr>
        <w:t xml:space="preserve"> </w:t>
      </w:r>
      <w:r>
        <w:rPr>
          <w:b w:val="false"/>
          <w:sz w:val="26"/>
          <w:szCs w:val="26"/>
        </w:rPr>
        <w:t xml:space="preserve">в соответствии с </w:t>
      </w:r>
      <w:r>
        <w:rPr>
          <w:color w:val="00000A"/>
          <w:sz w:val="26"/>
          <w:szCs w:val="26"/>
        </w:rPr>
        <w:t>пунктом 25 части 1 статьи 93 Закона о контрактной системе.</w:t>
      </w:r>
    </w:p>
    <w:p>
      <w:pPr>
        <w:pStyle w:val="Normal"/>
        <w:spacing w:before="0" w:after="0"/>
        <w:ind w:firstLine="600"/>
        <w:jc w:val="both"/>
        <w:rPr/>
      </w:pPr>
      <w:r>
        <w:rPr>
          <w:color w:val="00000A"/>
          <w:sz w:val="26"/>
          <w:szCs w:val="26"/>
        </w:rPr>
        <w:t xml:space="preserve"> </w:t>
      </w:r>
    </w:p>
    <w:p>
      <w:pPr>
        <w:pStyle w:val="Normal"/>
        <w:spacing w:before="0" w:after="0"/>
        <w:ind w:firstLine="600"/>
        <w:jc w:val="both"/>
        <w:rPr/>
      </w:pPr>
      <w:r>
        <w:rPr>
          <w:color w:val="00000A"/>
          <w:sz w:val="26"/>
          <w:szCs w:val="26"/>
        </w:rPr>
        <w:t>Согласно информации предоставленной Заказчиком (вх. № 1433), ООО «Гермес» не разместило до 24.05.2016 года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Во исполнении статьи 104 Закона о контрактной системе Заказчик направил информацию и документы для включения ООО «Гермес в реестр недобросовестных поставщиков.</w:t>
      </w:r>
    </w:p>
    <w:p>
      <w:pPr>
        <w:pStyle w:val="Normal"/>
        <w:spacing w:before="0" w:after="0"/>
        <w:ind w:firstLine="600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spacing w:before="0" w:after="0"/>
        <w:ind w:firstLine="600"/>
        <w:jc w:val="both"/>
        <w:rPr/>
      </w:pPr>
      <w:r>
        <w:rPr>
          <w:color w:val="00000A"/>
          <w:sz w:val="26"/>
          <w:szCs w:val="26"/>
        </w:rPr>
        <w:t>В письменных объяснениях ООО «Гермес» (вх. № 1499) считает, что признание Участника уклонившейся от заключения контракта необоснованным, а включение сведений об ООО «Гермес» в реестр недобросовестных поставщиков нецелесообразным и противоречащим закону, в связи с тем, что у ООО «гемес» имелись объективные, независящие причины на не подписание контракта в регламентированный срок.</w:t>
      </w:r>
    </w:p>
    <w:p>
      <w:pPr>
        <w:pStyle w:val="Normal"/>
        <w:spacing w:before="0" w:after="0"/>
        <w:ind w:firstLine="600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spacing w:before="0" w:after="0"/>
        <w:ind w:firstLine="600"/>
        <w:jc w:val="both"/>
        <w:rPr/>
      </w:pPr>
      <w:r>
        <w:rPr>
          <w:color w:val="00000A"/>
          <w:sz w:val="26"/>
          <w:szCs w:val="26"/>
        </w:rPr>
        <w:t>Согласно части 1 статьи 59 Закона о контрактной системе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оператором.</w:t>
      </w:r>
    </w:p>
    <w:p>
      <w:pPr>
        <w:pStyle w:val="Normal"/>
        <w:spacing w:before="0" w:after="0"/>
        <w:ind w:firstLine="600"/>
        <w:jc w:val="both"/>
        <w:rPr/>
      </w:pPr>
      <w:r>
        <w:rPr>
          <w:color w:val="00000A"/>
          <w:sz w:val="26"/>
          <w:szCs w:val="26"/>
        </w:rPr>
        <w:t>В соответствии с частями 1 и 2 статьи 60 Закона о контрактной системе  обмен информацией, связанной с получением аккредитации на электронных площадках и проведением электронного аукциона, между участником такого аукциона, заказчиком, оператором электронной площадки осуществляется на электронной площадке в форме электронных документов.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 и информация, направляемые в форме электронных документов участником электронного аукциона, заказчиком, должны быть подписаны усиленной электронной подписью лица, имеющего право действовать от имени соответственно участника такого аукциона, заказчика.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sz w:val="26"/>
          <w:szCs w:val="26"/>
        </w:rPr>
        <w:t xml:space="preserve">Согласно частям 1 — 7 статьи 70 Закона о контрактной системе по результатам электронного аукциона контракт заключается с победителем такого аукциона, а в случаях, предусмотренных настоящей статьей, с иным участником такого аукциона, заявка которого на участие в таком аукционе в соответствии со </w:t>
      </w:r>
      <w:r>
        <w:rPr>
          <w:rFonts w:ascii="Times New Roman" w:hAnsi="Times New Roman"/>
          <w:color w:val="0000FF"/>
          <w:sz w:val="26"/>
          <w:szCs w:val="26"/>
        </w:rPr>
        <w:t>статьей 69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признана соответствующей требованиям, установленным документацией о таком аукционе.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пяти дней с даты размещения в единой информационной системе указанного в </w:t>
      </w:r>
      <w:r>
        <w:rPr>
          <w:rFonts w:ascii="Times New Roman" w:hAnsi="Times New Roman"/>
          <w:color w:val="0000FF"/>
          <w:sz w:val="26"/>
          <w:szCs w:val="26"/>
        </w:rPr>
        <w:t>части 8 статьи 69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протокола заказчик размещает в единой информационной системе без своей подписи проект контракта, который составляется путем включения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 участника, в проект контракта, прилагаемый к документации о таком аукционе.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при проведении такого аукциона цена контракта снижена на двадцать пять процентов и более от начальной (максимальной) цены контракта, победитель такого аукциона предоставляет обеспечение исполнения контракта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1 статьи 37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системе, обеспечение исполнения контракта или информацию, предусмотренные </w:t>
      </w:r>
      <w:r>
        <w:rPr>
          <w:rFonts w:ascii="Times New Roman" w:hAnsi="Times New Roman"/>
          <w:color w:val="0000FF"/>
          <w:sz w:val="26"/>
          <w:szCs w:val="26"/>
        </w:rPr>
        <w:t>частью 2 статьи 37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системе, а также обоснование цены контракта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9 статьи 37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при заключении контракта на поставку товара, необходимого для нормального жизнеобеспечения (продовольствия, средств для скорой, в том числе скорой специализированной, медицинской помощи, оказываемой в экстренной или неотложной форме, лекарственных средств, топлива).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Победитель электронного аукциона, с которым заключается контракт, в случае наличия разногласий по проекту контракта, размещенному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2</w:t>
      </w:r>
      <w:r>
        <w:rPr>
          <w:rFonts w:ascii="Times New Roman" w:hAnsi="Times New Roman"/>
          <w:sz w:val="26"/>
          <w:szCs w:val="26"/>
        </w:rPr>
        <w:t xml:space="preserve"> настоящей статьи, размещает в единой информационной системе протокол разногласий, подписанный усиленной электронной подписью лица, имеющего право действовать от имени победителя такого аукциона. При этом победитель такого аукциона, с которым заключается контракт, указывает в протоколе разногласий замечания к положениям проекта контракта, не соответствующим извещению о проведении такого аукциона, документации о нем и своей заявке на участие в таком аукционе, с указанием соответствующих положений данных документов.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трех рабочих дней с даты размещения победителем электронного аукциона в единой информационной системе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4</w:t>
      </w:r>
      <w:r>
        <w:rPr>
          <w:rFonts w:ascii="Times New Roman" w:hAnsi="Times New Roman"/>
          <w:sz w:val="26"/>
          <w:szCs w:val="26"/>
        </w:rPr>
        <w:t xml:space="preserve">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аукциона.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условии, что победитель такого аукциона разместил в единой информационной системе протокол разногласий в соответствии с </w:t>
      </w:r>
      <w:r>
        <w:rPr>
          <w:rFonts w:ascii="Times New Roman" w:hAnsi="Times New Roman"/>
          <w:color w:val="0000FF"/>
          <w:sz w:val="26"/>
          <w:szCs w:val="26"/>
        </w:rPr>
        <w:t>частью 4</w:t>
      </w:r>
      <w:r>
        <w:rPr>
          <w:rFonts w:ascii="Times New Roman" w:hAnsi="Times New Roman"/>
          <w:sz w:val="26"/>
          <w:szCs w:val="26"/>
        </w:rPr>
        <w:t xml:space="preserve"> настоящей статьи не позднее чем в течение тринадцати дней с даты размещения в единой информационной системе протокола, указанного в </w:t>
      </w:r>
      <w:r>
        <w:rPr>
          <w:rFonts w:ascii="Times New Roman" w:hAnsi="Times New Roman"/>
          <w:color w:val="0000FF"/>
          <w:sz w:val="26"/>
          <w:szCs w:val="26"/>
        </w:rPr>
        <w:t>части 8 статьи 69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трех рабочих дней с даты размещения заказчиком в единой информационной системе документов, предусмотренных </w:t>
      </w:r>
      <w:r>
        <w:rPr>
          <w:rFonts w:ascii="Times New Roman" w:hAnsi="Times New Roman"/>
          <w:color w:val="0000FF"/>
          <w:sz w:val="26"/>
          <w:szCs w:val="26"/>
        </w:rPr>
        <w:t>частью 5</w:t>
      </w:r>
      <w:r>
        <w:rPr>
          <w:rFonts w:ascii="Times New Roman" w:hAnsi="Times New Roman"/>
          <w:sz w:val="26"/>
          <w:szCs w:val="26"/>
        </w:rPr>
        <w:t xml:space="preserve"> настоящей статьи, победитель электронного аукциона размещает в единой информационной системе проект контракта, подписанный усиленной электронной подписью лица, имеющего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лица, или предусмотренный </w:t>
      </w:r>
      <w:r>
        <w:rPr>
          <w:rFonts w:ascii="Times New Roman" w:hAnsi="Times New Roman"/>
          <w:color w:val="0000FF"/>
          <w:sz w:val="26"/>
          <w:szCs w:val="26"/>
        </w:rPr>
        <w:t>частью 4</w:t>
      </w:r>
      <w:r>
        <w:rPr>
          <w:rFonts w:ascii="Times New Roman" w:hAnsi="Times New Roman"/>
          <w:sz w:val="26"/>
          <w:szCs w:val="26"/>
        </w:rPr>
        <w:t xml:space="preserve"> настоящей статьи протокол разногласий.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трех рабочих дней с даты размещения в единой информационной системе проекта контракта, подписанного усиленной электронной подписью лица, имеющего право действовать от имени победителя электронного аукциона, и предоставления таким победителем обеспечения исполнения контракта заказчик обязан разместить контракт, подписанный усиленной электронной подписью лица, имеющего право действовать от имени заказчика, в единой информационной системе.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sz w:val="26"/>
          <w:szCs w:val="26"/>
        </w:rPr>
        <w:t>В соответствии с частями 7- 12 статьи 70 Закона о контрактной системе в течение трех рабочих дней с даты размещения в единой информационной системе проекта контракта, подписанного усиленной электронной подписью лица, имеющего право действовать от имени победителя электронного аукциона, и предоставления таким победителем обеспечения исполнения контракта заказчик обязан разместить контракт, подписанный усиленной электронной подписью лица, имеющего право действовать от имени заказчика, в единой информационной системе.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момента размещения в единой информационной системе предусмотренного </w:t>
      </w:r>
      <w:r>
        <w:rPr>
          <w:rFonts w:ascii="Times New Roman" w:hAnsi="Times New Roman"/>
          <w:color w:val="0000FF"/>
          <w:sz w:val="26"/>
          <w:szCs w:val="26"/>
        </w:rPr>
        <w:t>частью 7</w:t>
      </w:r>
      <w:r>
        <w:rPr>
          <w:rFonts w:ascii="Times New Roman" w:hAnsi="Times New Roman"/>
          <w:sz w:val="26"/>
          <w:szCs w:val="26"/>
        </w:rPr>
        <w:t xml:space="preserve"> настоящей статьи и подписанного заказчиком контракта он считается заключенным.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Контракт заключается на условиях, указанных в извещении о проведении электронного аукциона и документации о таком аукционе, по цене, предложенной его победителем.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Денежные средства, внесенные в качестве обеспечения заявки на участие в электронном аукционе, возвращаются победителю такого аукциона в сроки, установленные </w:t>
      </w:r>
      <w:r>
        <w:rPr>
          <w:rFonts w:ascii="Times New Roman" w:hAnsi="Times New Roman"/>
          <w:color w:val="0000FF"/>
          <w:sz w:val="26"/>
          <w:szCs w:val="26"/>
        </w:rPr>
        <w:t>частью 6 статьи 44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предусмотренном </w:t>
      </w:r>
      <w:r>
        <w:rPr>
          <w:rFonts w:ascii="Times New Roman" w:hAnsi="Times New Roman"/>
          <w:color w:val="0000FF"/>
          <w:sz w:val="26"/>
          <w:szCs w:val="26"/>
        </w:rPr>
        <w:t>частью 23 статьи 68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системе, контракт заключается только после внесения на счет, на котором в соответствии с законодательством Российской Федерации учитываются операции со средствами, поступающими заказчику, участником электронного аукциона, с которым заключается контракт, денежных средств в размере предложенной таким участником цены за право заключения контракта, а также предоставления обеспечения исполнения контракта.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 основании части 13 статьи 70 Закона о контрактной системе победитель электронного аукциона признается уклонившимся от заключения контракта в случае, если в сроки, предусмотренные настоящей статьей, он не направил заказчику проект контракта, подписанный лицом, имеющим право действовать от имени победителя такого аукциона, или направил протокол разногласий, предусмотренный </w:t>
      </w:r>
      <w:r>
        <w:rPr>
          <w:rFonts w:ascii="Times New Roman" w:hAnsi="Times New Roman"/>
          <w:color w:val="0000FF"/>
          <w:sz w:val="26"/>
          <w:szCs w:val="26"/>
        </w:rPr>
        <w:t>частью 4</w:t>
      </w:r>
      <w:r>
        <w:rPr>
          <w:rFonts w:ascii="Times New Roman" w:hAnsi="Times New Roman"/>
          <w:sz w:val="26"/>
          <w:szCs w:val="26"/>
        </w:rPr>
        <w:t xml:space="preserve"> настоящей статьи, по истечении тринадцати дней с даты размещения в единой информационной системе протокола, указанного в </w:t>
      </w:r>
      <w:r>
        <w:rPr>
          <w:rFonts w:ascii="Times New Roman" w:hAnsi="Times New Roman"/>
          <w:color w:val="0000FF"/>
          <w:sz w:val="26"/>
          <w:szCs w:val="26"/>
        </w:rPr>
        <w:t>части 8 статьи 69</w:t>
      </w:r>
      <w:r>
        <w:rPr>
          <w:rFonts w:ascii="Times New Roman" w:hAnsi="Times New Roman"/>
          <w:sz w:val="26"/>
          <w:szCs w:val="26"/>
        </w:rPr>
        <w:t xml:space="preserve"> настоящего Федерального закона, или не исполнил требования, предусмотренные </w:t>
      </w:r>
      <w:r>
        <w:rPr>
          <w:rFonts w:ascii="Times New Roman" w:hAnsi="Times New Roman"/>
          <w:color w:val="0000FF"/>
          <w:sz w:val="26"/>
          <w:szCs w:val="26"/>
        </w:rPr>
        <w:t>статьей 37</w:t>
      </w:r>
      <w:r>
        <w:rPr>
          <w:rFonts w:ascii="Times New Roman" w:hAnsi="Times New Roman"/>
          <w:sz w:val="26"/>
          <w:szCs w:val="26"/>
        </w:rPr>
        <w:t xml:space="preserve"> настоящего Федерального закона (в случае снижения при проведении такого аукциона цены контракта на двадцать пять процентов и более от начальной (максимальной) цены контракта).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 основании анализа представленных документов, письменной информации, заслушивания представителей ООО «Гермес»,  </w:t>
      </w:r>
      <w:r>
        <w:rPr>
          <w:rFonts w:ascii="Times New Roman" w:hAnsi="Times New Roman"/>
          <w:b w:val="false"/>
          <w:sz w:val="26"/>
          <w:szCs w:val="26"/>
        </w:rPr>
        <w:t>Департамента здравоохранения, труда и социальной защиты населения Ненецкого автономного округа, Комиссия Ненецкого УФАС пришла к нижеследующим выводам: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</w:rPr>
        <w:t xml:space="preserve">15.04.2016 года на официальном сайте Единой информационной системы в сфере закупок </w:t>
      </w:r>
      <w:hyperlink r:id="rId3">
        <w:r>
          <w:rPr>
            <w:rStyle w:val="Style14"/>
            <w:rFonts w:ascii="Times New Roman" w:hAnsi="Times New Roman"/>
            <w:b w:val="false"/>
            <w:sz w:val="26"/>
            <w:szCs w:val="26"/>
            <w:lang w:val="en-US"/>
          </w:rPr>
          <w:t>http://zakupki.gov.ru/</w:t>
        </w:r>
      </w:hyperlink>
      <w:r>
        <w:rPr>
          <w:rFonts w:ascii="Times New Roman" w:hAnsi="Times New Roman"/>
          <w:b w:val="false"/>
          <w:sz w:val="26"/>
          <w:szCs w:val="26"/>
          <w:lang w:val="ru-RU"/>
        </w:rPr>
        <w:t xml:space="preserve"> (далее — официальный сайт) было размещено извещение № 0184200000616000105 о проведении электронного аукциона на право заключения государственного контракта на оказание услуг по предоставлению льготного проживания в гостинице отдельных категорий граждан.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  <w:lang w:val="ru-RU"/>
        </w:rPr>
        <w:t>Дата и время окончания подачи заявок на участие в электронном аукционе — 26.04.2016 09.00 часов.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  <w:lang w:val="ru-RU"/>
        </w:rPr>
        <w:t>Дата окончания срока рассмотрения первых частей заявок участников — 26.04.2016.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  <w:lang w:val="ru-RU"/>
        </w:rPr>
        <w:t>Дата проведения аукциона в электронной форме — 29.04.2016.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  <w:lang w:val="ru-RU"/>
        </w:rPr>
        <w:t>На основании протокола о подведении итогов электронного аукциона от 05.05.2016, Заказчиком 10.05.2016 года размещен на официальном сайте проект контракта.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  <w:lang w:val="ru-RU"/>
        </w:rPr>
        <w:t>16.05.2016 ООО «Гермес» направило протокол разногласий.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  <w:lang w:val="ru-RU"/>
        </w:rPr>
        <w:t>18.05.2016 Заказчиком обработан протокол разногласий и направлен проект контракта с учетом замечаний указанных в протоколе разногласий.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  <w:lang w:val="ru-RU"/>
        </w:rPr>
        <w:t>ООО «Гермес» не подписало государственный контракт в регламентированный срок — 23.05.2016.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  <w:lang w:val="ru-RU"/>
        </w:rPr>
        <w:t>25.05.2016 Заказчик разместил на официальном сайте Протокол об уклонении победителя электронного аукциона от заключения государственного контракта на оказание услуг по предоставлению льготного проживания в гостинице отдельных категорий граждан от 25.05.2016 года.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  <w:lang w:val="ru-RU"/>
        </w:rPr>
        <w:t>Согласно представленным объяснениям представителя ООО «Гермес», контракт не подписан в регламентированный срок в связи с выходом из строя носителя электронной цифровой подписи, что подтверждается актом от 25.05.2016, выданным Обществом с ограниченной ответственностью «Б2Б Коннект» (вх. №1504).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sz w:val="26"/>
          <w:szCs w:val="26"/>
          <w:lang w:val="ru-RU"/>
        </w:rPr>
        <w:t>В качестве обеспечения государственного контракта ООО «Гермес» предоставило банковскую гарантию № 57293 выданную, Публичным акционерным обществом «Совкомбанк» от 20.05.2016 года на денежную сумму 217 485,00 рублей (реестровый номер 01</w:t>
      </w:r>
      <w:r>
        <w:rPr>
          <w:rFonts w:ascii="Times New Roman" w:hAnsi="Times New Roman"/>
          <w:b w:val="false"/>
          <w:sz w:val="26"/>
          <w:szCs w:val="26"/>
          <w:lang w:val="en-US"/>
        </w:rPr>
        <w:t>Q228300677916001102).</w:t>
      </w:r>
    </w:p>
    <w:p>
      <w:pPr>
        <w:pStyle w:val="ConsPlusNormal"/>
        <w:ind w:left="0" w:firstLine="540"/>
        <w:jc w:val="both"/>
        <w:rPr>
          <w:lang w:val="ru-RU"/>
        </w:rPr>
      </w:pPr>
      <w:r>
        <w:rPr>
          <w:rFonts w:ascii="Times New Roman" w:hAnsi="Times New Roman"/>
          <w:b w:val="false"/>
          <w:sz w:val="26"/>
          <w:szCs w:val="26"/>
          <w:lang w:val="ru-RU"/>
        </w:rPr>
        <w:t xml:space="preserve">Так же ООО «Гермес» направило 24.05.2016 года, письмом с уведомлением и по электронной почте, в адрес Заказчика подписанный государственный контракт на  </w:t>
      </w:r>
      <w:bookmarkStart w:id="0" w:name="__DdeLink__543_559442342"/>
      <w:r>
        <w:rPr>
          <w:rFonts w:ascii="Times New Roman" w:hAnsi="Times New Roman"/>
          <w:b w:val="false"/>
          <w:sz w:val="26"/>
          <w:szCs w:val="26"/>
          <w:lang w:val="ru-RU"/>
        </w:rPr>
        <w:t>оказание услуг по предоставлению льготного проживания в гостинице отдельных категорий граждан</w:t>
      </w:r>
      <w:bookmarkEnd w:id="0"/>
      <w:r>
        <w:rPr>
          <w:rFonts w:ascii="Times New Roman" w:hAnsi="Times New Roman"/>
          <w:b w:val="false"/>
          <w:sz w:val="26"/>
          <w:szCs w:val="26"/>
          <w:lang w:val="ru-RU"/>
        </w:rPr>
        <w:t xml:space="preserve"> в бумажном виде и копию банковской гарантии.</w:t>
      </w:r>
    </w:p>
    <w:p>
      <w:pPr>
        <w:pStyle w:val="ConsPlusNormal"/>
        <w:ind w:left="0" w:firstLine="540"/>
        <w:jc w:val="both"/>
        <w:rPr>
          <w:lang w:val="ru-RU"/>
        </w:rPr>
      </w:pPr>
      <w:r>
        <w:rPr>
          <w:rFonts w:ascii="Times New Roman" w:hAnsi="Times New Roman"/>
          <w:b w:val="false"/>
          <w:sz w:val="26"/>
          <w:szCs w:val="26"/>
          <w:lang w:val="ru-RU"/>
        </w:rPr>
        <w:t>Таким образом, ООО «Гермес» подтвердило свое намерение на заключение государственного контракта.</w:t>
      </w: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Согласно </w:t>
      </w:r>
      <w:hyperlink r:id="rId4">
        <w:r>
          <w:rPr>
            <w:rStyle w:val="Style14"/>
            <w:color w:val="0000FF"/>
            <w:sz w:val="26"/>
            <w:szCs w:val="26"/>
          </w:rPr>
          <w:t>части 2 статьи 104</w:t>
        </w:r>
      </w:hyperlink>
      <w:r>
        <w:rPr>
          <w:sz w:val="26"/>
          <w:szCs w:val="26"/>
        </w:rPr>
        <w:t xml:space="preserve"> Закона о контрактной системе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Согласно </w:t>
      </w:r>
      <w:hyperlink r:id="rId5">
        <w:r>
          <w:rPr>
            <w:rStyle w:val="Style14"/>
            <w:color w:val="0000FF"/>
            <w:sz w:val="26"/>
            <w:szCs w:val="26"/>
          </w:rPr>
          <w:t>части 10 статьи 104</w:t>
        </w:r>
      </w:hyperlink>
      <w:r>
        <w:rPr>
          <w:sz w:val="26"/>
          <w:szCs w:val="26"/>
        </w:rPr>
        <w:t xml:space="preserve"> Закона о контрактной системе </w:t>
      </w:r>
      <w:hyperlink r:id="rId6">
        <w:r>
          <w:rPr>
            <w:rStyle w:val="Style14"/>
            <w:color w:val="0000FF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ведения реестра недобросовестных поставщиков, в том числе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поставщиков, устанавливается Правительством Российской Федерации.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В соответствии с </w:t>
      </w:r>
      <w:hyperlink r:id="rId7">
        <w:r>
          <w:rPr>
            <w:rStyle w:val="Style14"/>
            <w:color w:val="0000FF"/>
            <w:sz w:val="26"/>
            <w:szCs w:val="26"/>
          </w:rPr>
          <w:t>частью 10 статьи 104</w:t>
        </w:r>
      </w:hyperlink>
      <w:r>
        <w:rPr>
          <w:sz w:val="26"/>
          <w:szCs w:val="26"/>
        </w:rPr>
        <w:t xml:space="preserve"> Закона о контрактной системе Правительством Российской Федерации утверждены </w:t>
      </w:r>
      <w:hyperlink r:id="rId8">
        <w:r>
          <w:rPr>
            <w:rStyle w:val="Style14"/>
            <w:color w:val="0000FF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ведения реестра недобросовестных поставщиков (подрядчиков, исполнителей) Постановлением Правительства РФ от 25.11.2013 N 1062 «О порядке ведения реестра недобросовестных поставщиков (подрядчиков, исполнителей)» (далее по тексту – Правила).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Согласно пункта 12 Правил, 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r>
        <w:rPr>
          <w:color w:val="0000FF"/>
          <w:sz w:val="26"/>
          <w:szCs w:val="26"/>
        </w:rPr>
        <w:t>пунктом 11</w:t>
      </w:r>
      <w:r>
        <w:rPr>
          <w:sz w:val="26"/>
          <w:szCs w:val="26"/>
        </w:rPr>
        <w:t xml:space="preserve"> настоящих Правил. В рассмотрении вправе принять участие иные заинтересованные лица.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представленных информации и документов и проведения проверки фактов, указанных в </w:t>
      </w:r>
      <w:r>
        <w:rPr>
          <w:rFonts w:ascii="Times New Roman" w:hAnsi="Times New Roman"/>
          <w:color w:val="0000FF"/>
          <w:sz w:val="26"/>
          <w:szCs w:val="26"/>
        </w:rPr>
        <w:t>пункте 11</w:t>
      </w:r>
      <w:r>
        <w:rPr>
          <w:rFonts w:ascii="Times New Roman" w:hAnsi="Times New Roman"/>
          <w:sz w:val="26"/>
          <w:szCs w:val="26"/>
        </w:rP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>
      <w:pPr>
        <w:pStyle w:val="Normal"/>
        <w:ind w:firstLine="540"/>
        <w:jc w:val="both"/>
        <w:rPr>
          <w:lang w:val="ru-RU"/>
        </w:rPr>
      </w:pPr>
      <w:r>
        <w:rPr>
          <w:b w:val="false"/>
          <w:sz w:val="26"/>
          <w:szCs w:val="26"/>
          <w:lang w:val="ru-RU"/>
        </w:rPr>
        <w:t xml:space="preserve">В соответствии с пунктом 11 Правил уполномоченный орган осуществляет проверку информации и документов, </w:t>
      </w:r>
      <w:r>
        <w:rPr>
          <w:b/>
          <w:sz w:val="26"/>
          <w:szCs w:val="26"/>
          <w:lang w:val="ru-RU"/>
        </w:rPr>
        <w:t>на наличие фактов, подтверждающих недобросовестность</w:t>
      </w:r>
      <w:r>
        <w:rPr>
          <w:b w:val="false"/>
          <w:sz w:val="26"/>
          <w:szCs w:val="26"/>
          <w:lang w:val="ru-RU"/>
        </w:rPr>
        <w:t xml:space="preserve"> поставщика (подрядчика, исполнителя), в течение 10 рабочих дней с даты их поступления.</w:t>
      </w:r>
    </w:p>
    <w:p>
      <w:pPr>
        <w:pStyle w:val="Normal"/>
        <w:ind w:firstLine="54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ind w:firstLine="540"/>
        <w:jc w:val="both"/>
        <w:rPr>
          <w:lang w:val="ru-RU"/>
        </w:rPr>
      </w:pPr>
      <w:r>
        <w:rPr>
          <w:b w:val="false"/>
          <w:sz w:val="26"/>
          <w:szCs w:val="26"/>
          <w:lang w:val="ru-RU"/>
        </w:rPr>
        <w:t>Комиссия Ненецкого УФАС России на основании представленных материалов и доводов представителя ООО «Гермес», представителей  Департамента здравоохранения, труда и социальной защиты населения Ненецкого автономного округа, заслушанных в ходе заседания, пришла к выводу о том, что ООО «Гермес» не имело намерения уклоняться от подписания государственного контракта на  оказание услуг по предоставлению льготного проживания в гостинице отдельных категорий граждан. Ситуация, связанная с неподписанием в установленный Законом о контрактной системе срок со стороны ООО «Гермес» электронной цифровой подписью государственного контракта, возникла по независящим от ООО «Гермес» обстоятельствам.</w:t>
      </w:r>
    </w:p>
    <w:p>
      <w:pPr>
        <w:pStyle w:val="Normal"/>
        <w:ind w:left="0" w:firstLine="540"/>
        <w:jc w:val="both"/>
        <w:rPr>
          <w:rStyle w:val="Iceouttxt1"/>
          <w:rFonts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840"/>
        <w:jc w:val="both"/>
        <w:outlineLvl w:val="1"/>
        <w:rPr/>
      </w:pPr>
      <w:r>
        <w:rPr>
          <w:rStyle w:val="Iceouttxt1"/>
          <w:rFonts w:cs="Times New Roman"/>
          <w:bCs/>
          <w:color w:val="000000"/>
          <w:sz w:val="26"/>
          <w:szCs w:val="26"/>
        </w:rPr>
        <w:t>На основании вышеизложенного,</w:t>
      </w:r>
      <w:r>
        <w:rPr>
          <w:rStyle w:val="Iceouttxt1"/>
          <w:rFonts w:cs="Times New Roman"/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 статьей 104 Закона о контрактной системе,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исполнителей)», Комиссия</w:t>
      </w:r>
    </w:p>
    <w:p>
      <w:pPr>
        <w:pStyle w:val="Normal"/>
        <w:ind w:firstLine="840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40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pStyle w:val="Style22"/>
        <w:ind w:firstLine="840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22"/>
        <w:numPr>
          <w:ilvl w:val="0"/>
          <w:numId w:val="2"/>
        </w:numPr>
        <w:ind w:left="0" w:firstLine="840"/>
        <w:rPr/>
      </w:pPr>
      <w:r>
        <w:rPr>
          <w:b w:val="false"/>
          <w:sz w:val="26"/>
          <w:szCs w:val="26"/>
        </w:rPr>
        <w:t>1. Сведения в отношении</w:t>
      </w:r>
      <w:r>
        <w:rPr>
          <w:sz w:val="26"/>
          <w:szCs w:val="26"/>
        </w:rPr>
        <w:t xml:space="preserve"> </w:t>
      </w:r>
      <w:r>
        <w:rPr>
          <w:b w:val="false"/>
          <w:sz w:val="26"/>
          <w:szCs w:val="26"/>
        </w:rPr>
        <w:t>ООО «Гермес» в реестр недобросовестных поставщиков не включать.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firstLine="8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firstLine="840"/>
        <w:jc w:val="both"/>
        <w:rPr>
          <w:rFonts w:ascii="Times New Roman" w:hAnsi="Times New Roman"/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ind w:firstLine="840"/>
        <w:jc w:val="both"/>
        <w:rPr>
          <w:rFonts w:ascii="Times New Roman" w:hAnsi="Times New Roman"/>
          <w:sz w:val="26"/>
          <w:szCs w:val="26"/>
        </w:rPr>
      </w:pPr>
      <w:r>
        <w:rPr>
          <w:i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 в Арбитражный суд Архангельской области.</w:t>
      </w:r>
    </w:p>
    <w:p>
      <w:pPr>
        <w:pStyle w:val="Normal"/>
        <w:ind w:firstLine="840"/>
        <w:jc w:val="both"/>
        <w:rPr>
          <w:rFonts w:ascii="Times New Roman" w:hAnsi="Times New Roman"/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tabs>
          <w:tab w:val="left" w:pos="7513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7513" w:leader="none"/>
        </w:tabs>
        <w:jc w:val="both"/>
        <w:rPr/>
      </w:pPr>
      <w:r>
        <w:rPr>
          <w:sz w:val="26"/>
          <w:szCs w:val="26"/>
        </w:rPr>
        <w:t xml:space="preserve">Председатель Комиссии:                                                                     </w:t>
      </w:r>
    </w:p>
    <w:p>
      <w:pPr>
        <w:pStyle w:val="Normal"/>
        <w:tabs>
          <w:tab w:val="left" w:pos="751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>
      <w:pPr>
        <w:pStyle w:val="Normal"/>
        <w:tabs>
          <w:tab w:val="left" w:pos="7513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Члены Комиссии:                                                                                   </w:t>
      </w:r>
    </w:p>
    <w:p>
      <w:pPr>
        <w:pStyle w:val="Normal"/>
        <w:spacing w:before="240" w:after="0"/>
        <w:ind w:left="0" w:right="0" w:firstLine="540"/>
        <w:jc w:val="both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701" w:right="567" w:header="709" w:top="851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character" w:styleId="WW8Num1z0">
    <w:name w:val="WW8Num1z0"/>
    <w:qFormat/>
    <w:rPr>
      <w:rFonts w:ascii="Times New Roman" w:hAnsi="Times New Roman" w:eastAsia="Calibri" w:cs="Times New Roman"/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pellcheckerwordhighlight">
    <w:name w:val="spellchecker-word-highlight"/>
    <w:basedOn w:val="Style13"/>
    <w:qFormat/>
    <w:rPr/>
  </w:style>
  <w:style w:type="character" w:styleId="Appleconvertedspace">
    <w:name w:val="apple-converted-space"/>
    <w:basedOn w:val="Style13"/>
    <w:qFormat/>
    <w:rPr/>
  </w:style>
  <w:style w:type="character" w:styleId="Blk">
    <w:name w:val="blk"/>
    <w:basedOn w:val="Style13"/>
    <w:qFormat/>
    <w:rPr/>
  </w:style>
  <w:style w:type="character" w:styleId="Iceouttxt1">
    <w:name w:val="iceouttxt1"/>
    <w:basedOn w:val="Style13"/>
    <w:qFormat/>
    <w:rPr>
      <w:rFonts w:ascii="Arial" w:hAnsi="Arial" w:cs="Arial"/>
      <w:color w:val="666666"/>
      <w:sz w:val="17"/>
      <w:szCs w:val="17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>
      <w:sz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Адресат вверху"/>
    <w:basedOn w:val="Normal"/>
    <w:qFormat/>
    <w:pPr>
      <w:suppressAutoHyphens w:val="true"/>
      <w:jc w:val="both"/>
    </w:pPr>
    <w:rPr>
      <w:b/>
      <w:sz w:val="24"/>
    </w:rPr>
  </w:style>
  <w:style w:type="paragraph" w:styleId="ConsPlusNormal">
    <w:name w:val="ConsPlusNormal"/>
    <w:qFormat/>
    <w:pPr>
      <w:widowControl w:val="false"/>
      <w:overflowPunct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Parameter">
    <w:name w:val="parameter"/>
    <w:basedOn w:val="Normal"/>
    <w:qFormat/>
    <w:pPr>
      <w:spacing w:before="280" w:after="280"/>
    </w:pPr>
    <w:rPr>
      <w:sz w:val="24"/>
      <w:szCs w:val="24"/>
    </w:rPr>
  </w:style>
  <w:style w:type="paragraph" w:styleId="Parametervalue">
    <w:name w:val="parametervalue"/>
    <w:basedOn w:val="Normal"/>
    <w:qFormat/>
    <w:pPr>
      <w:spacing w:before="280" w:after="280"/>
    </w:pPr>
    <w:rPr>
      <w:sz w:val="24"/>
      <w:szCs w:val="24"/>
    </w:rPr>
  </w:style>
  <w:style w:type="paragraph" w:styleId="Style23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20">
    <w:name w:val="20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/>
      <w:overflowPunct w:val="fals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overflowPunct w:val="fals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overflowPunct w:val="fals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overflowPunct w:val="fals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overflowPunct w:val="fals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overflowPunct w:val="fals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6"/>
      <w:szCs w:val="24"/>
      <w:u w:val="none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zakupki.gov.ru/" TargetMode="External"/><Relationship Id="rId4" Type="http://schemas.openxmlformats.org/officeDocument/2006/relationships/hyperlink" Target="consultantplus://offline/ref=0FFB4B931D6A31378AB11DC35835BDF4D71C60D3BA5F923562488B4582BCF2AB91ED09E1294F07D9z6jEL" TargetMode="External"/><Relationship Id="rId5" Type="http://schemas.openxmlformats.org/officeDocument/2006/relationships/hyperlink" Target="consultantplus://offline/ref=0FFB4B931D6A31378AB11DC35835BDF4D71C60D3BA5F923562488B4582BCF2AB91ED09E1294F07D9z6jEL" TargetMode="External"/><Relationship Id="rId6" Type="http://schemas.openxmlformats.org/officeDocument/2006/relationships/hyperlink" Target="consultantplus://offline/ref=91F4DF7E5A78D6B112A9FEE760F0DC5DC51B4E69C4967D837E1F8AC0EE573EC2FEF999E040FFC8225ApBL" TargetMode="External"/><Relationship Id="rId7" Type="http://schemas.openxmlformats.org/officeDocument/2006/relationships/hyperlink" Target="consultantplus://offline/ref=F847F412A8FF84FED901A85F3A9CFC51A554B6CFA8F2F385757D19769A920E520471CFF76B15B2B3qAwEL" TargetMode="External"/><Relationship Id="rId8" Type="http://schemas.openxmlformats.org/officeDocument/2006/relationships/hyperlink" Target="consultantplus://offline/ref=F847F412A8FF84FED901A85F3A9CFC51A554B6CAAAF0F385757D19769A920E520471CFF76B14B7B3qAwE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LibreOffice/5.1.2.2$Windows_X86_64 LibreOffice_project/d3bf12ecb743fc0d20e0be0c58ca359301eb705f</Application>
  <Pages>7</Pages>
  <Words>2338</Words>
  <Characters>16609</Characters>
  <CharactersWithSpaces>19231</CharactersWithSpaces>
  <Paragraphs>69</Paragraphs>
  <Company>КонсультантПлюс Версия 4015.00.09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2016-06-08T13:45:00Z</dcterms:created>
  <dc:creator>USER</dc:creator>
  <dc:description/>
  <dc:language>ru-RU</dc:language>
  <cp:lastModifiedBy/>
  <cp:lastPrinted>2016-06-08T14:40:02Z</cp:lastPrinted>
  <dcterms:modified xsi:type="dcterms:W3CDTF">2016-06-09T09:41:53Z</dcterms:modified>
  <cp:revision>16</cp:revision>
  <dc:subject/>
  <dc:title>Федеральный закон от 05.04.2013 N 44-ФЗ(ред. от 02.06.2016)"О контрактной системе в сфере закупок товаров, работ, услуг для обеспечения государственных и муниципальных нужд"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4015.00.09</vt:lpwstr>
  </property>
</Properties>
</file>