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drawing>
          <wp:anchor behindDoc="0" distT="0" distB="0" distL="114935" distR="114935" simplePos="0" locked="0" layoutInCell="1" allowOverlap="1" relativeHeight="2">
            <wp:simplePos x="0" y="0"/>
            <wp:positionH relativeFrom="column">
              <wp:posOffset>2574290</wp:posOffset>
            </wp:positionH>
            <wp:positionV relativeFrom="paragraph">
              <wp:posOffset>5080</wp:posOffset>
            </wp:positionV>
            <wp:extent cx="685800" cy="67818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85800" cy="678180"/>
                    </a:xfrm>
                    <a:prstGeom prst="rect">
                      <a:avLst/>
                    </a:prstGeom>
                  </pic:spPr>
                </pic:pic>
              </a:graphicData>
            </a:graphic>
          </wp:anchor>
        </w:drawing>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tbl>
      <w:tblPr>
        <w:tblW w:w="9805" w:type="dxa"/>
        <w:jc w:val="left"/>
        <w:tblInd w:w="0" w:type="dxa"/>
        <w:tblBorders/>
        <w:tblCellMar>
          <w:top w:w="0" w:type="dxa"/>
          <w:left w:w="108" w:type="dxa"/>
          <w:bottom w:w="0" w:type="dxa"/>
          <w:right w:w="108" w:type="dxa"/>
        </w:tblCellMar>
      </w:tblPr>
      <w:tblGrid>
        <w:gridCol w:w="9805"/>
      </w:tblGrid>
      <w:tr>
        <w:trPr>
          <w:trHeight w:val="1862" w:hRule="atLeast"/>
        </w:trPr>
        <w:tc>
          <w:tcPr>
            <w:tcW w:w="9805" w:type="dxa"/>
            <w:tcBorders/>
            <w:shd w:fill="auto" w:val="clear"/>
          </w:tcPr>
          <w:p>
            <w:pPr>
              <w:pStyle w:val="Style16"/>
              <w:jc w:val="center"/>
              <w:rPr>
                <w:b/>
                <w:b/>
                <w:color w:val="0066CC"/>
              </w:rPr>
            </w:pPr>
            <w:r>
              <w:rPr>
                <w:b/>
                <w:color w:val="0066CC"/>
              </w:rPr>
              <w:t>УПРАВЛЕНИЕ ФЕДЕРАЛЬНОЙ АНТИМОНОПОЛЬНОЙ СЛУЖБЫ</w:t>
            </w:r>
          </w:p>
          <w:p>
            <w:pPr>
              <w:pStyle w:val="Normal"/>
              <w:jc w:val="center"/>
              <w:rPr>
                <w:b/>
                <w:b/>
                <w:color w:val="0066CC"/>
                <w:sz w:val="24"/>
              </w:rPr>
            </w:pPr>
            <w:r>
              <w:rPr>
                <w:b/>
                <w:color w:val="0066CC"/>
                <w:sz w:val="24"/>
              </w:rPr>
              <w:t>ПО НЕНЕЦКОМУ АВТОНОМНОМУ ОКРУГУ</w:t>
            </w:r>
          </w:p>
          <w:p>
            <w:pPr>
              <w:pStyle w:val="Normal"/>
              <w:jc w:val="center"/>
              <w:rPr>
                <w:b/>
                <w:b/>
                <w:color w:val="0066CC"/>
                <w:sz w:val="24"/>
              </w:rPr>
            </w:pPr>
            <w:r>
              <w:rPr>
                <w:b/>
                <w:color w:val="0066CC"/>
                <w:sz w:val="24"/>
              </w:rPr>
            </w:r>
          </w:p>
          <w:p>
            <w:pPr>
              <w:pStyle w:val="Normal"/>
              <w:jc w:val="center"/>
              <w:rPr>
                <w:b/>
                <w:b/>
                <w:color w:val="0066CC"/>
                <w:sz w:val="22"/>
              </w:rPr>
            </w:pPr>
            <w:r>
              <w:rPr>
                <w:b/>
                <w:color w:val="0066CC"/>
                <w:sz w:val="22"/>
              </w:rPr>
            </w:r>
          </w:p>
          <w:p>
            <w:pPr>
              <w:pStyle w:val="3"/>
              <w:numPr>
                <w:ilvl w:val="2"/>
                <w:numId w:val="3"/>
              </w:numPr>
              <w:rPr>
                <w:color w:val="0066CC"/>
                <w:sz w:val="32"/>
              </w:rPr>
            </w:pPr>
            <w:r>
              <w:rPr>
                <w:color w:val="0066CC"/>
                <w:sz w:val="32"/>
              </w:rPr>
              <w:t>Р Е Ш Е Н И Е</w:t>
            </w:r>
          </w:p>
          <w:p>
            <w:pPr>
              <w:pStyle w:val="Normal"/>
              <w:jc w:val="center"/>
              <w:rPr>
                <w:color w:val="0066CC"/>
                <w:sz w:val="22"/>
              </w:rPr>
            </w:pPr>
            <w:r>
              <w:rPr>
                <w:color w:val="0066CC"/>
                <w:sz w:val="22"/>
              </w:rPr>
            </w:r>
          </w:p>
          <w:p>
            <w:pPr>
              <w:pStyle w:val="Normal"/>
              <w:jc w:val="center"/>
              <w:rPr>
                <w:sz w:val="26"/>
                <w:szCs w:val="26"/>
              </w:rPr>
            </w:pPr>
            <w:r>
              <w:rPr>
                <w:sz w:val="26"/>
                <w:szCs w:val="26"/>
              </w:rPr>
              <w:t>об отказе во включении сведений в реестр недобросовестных поставщиков</w:t>
            </w:r>
          </w:p>
          <w:p>
            <w:pPr>
              <w:pStyle w:val="Normal"/>
              <w:jc w:val="center"/>
              <w:rPr>
                <w:bCs/>
                <w:color w:val="0066CC"/>
                <w:sz w:val="26"/>
                <w:szCs w:val="26"/>
              </w:rPr>
            </w:pPr>
            <w:r>
              <w:rPr>
                <w:bCs/>
                <w:color w:val="0066CC"/>
                <w:sz w:val="26"/>
                <w:szCs w:val="26"/>
              </w:rPr>
            </w:r>
          </w:p>
          <w:p>
            <w:pPr>
              <w:pStyle w:val="Normal"/>
              <w:jc w:val="center"/>
              <w:rPr>
                <w:color w:val="0066CC"/>
                <w:sz w:val="22"/>
                <w:szCs w:val="26"/>
              </w:rPr>
            </w:pPr>
            <w:r>
              <w:rPr>
                <w:color w:val="0066CC"/>
                <w:sz w:val="22"/>
                <w:szCs w:val="26"/>
              </w:rPr>
            </w:r>
          </w:p>
          <w:p>
            <w:pPr>
              <w:pStyle w:val="Normal"/>
              <w:rPr/>
            </w:pPr>
            <w:r>
              <w:rPr>
                <w:sz w:val="26"/>
                <w:szCs w:val="26"/>
              </w:rPr>
              <w:t>26.05.2016 г.</w:t>
            </w:r>
            <w:r>
              <w:rPr>
                <w:sz w:val="22"/>
              </w:rPr>
              <w:t xml:space="preserve">                                                                                                          </w:t>
            </w:r>
            <w:r>
              <w:rPr>
                <w:sz w:val="26"/>
                <w:szCs w:val="26"/>
              </w:rPr>
              <w:t>№ РНП-83-08/2016</w:t>
            </w:r>
          </w:p>
        </w:tc>
      </w:tr>
    </w:tbl>
    <w:p>
      <w:pPr>
        <w:pStyle w:val="Normal"/>
        <w:rPr>
          <w:sz w:val="16"/>
          <w:lang w:val="ru-RU" w:eastAsia="ru-RU"/>
        </w:rPr>
      </w:pPr>
      <w:r>
        <w:rPr>
          <w:sz w:val="16"/>
          <w:lang w:val="ru-RU" w:eastAsia="ru-RU"/>
        </w:rPr>
      </w:r>
    </w:p>
    <w:p>
      <w:pPr>
        <w:pStyle w:val="Normal"/>
        <w:rPr/>
      </w:pPr>
      <w:r>
        <w:rPr/>
      </w:r>
    </w:p>
    <w:p>
      <w:pPr>
        <w:pStyle w:val="Normal"/>
        <w:jc w:val="center"/>
        <w:rPr/>
      </w:pPr>
      <w:r>
        <w:rPr/>
        <w:tab/>
      </w:r>
      <w:r>
        <w:rPr>
          <w:bCs/>
          <w:sz w:val="26"/>
          <w:szCs w:val="26"/>
        </w:rPr>
        <w:t>г. Нарьян-Мар</w:t>
      </w:r>
    </w:p>
    <w:p>
      <w:pPr>
        <w:pStyle w:val="Normal"/>
        <w:jc w:val="center"/>
        <w:rPr>
          <w:bCs/>
          <w:sz w:val="26"/>
          <w:szCs w:val="26"/>
        </w:rPr>
      </w:pPr>
      <w:r>
        <w:rPr>
          <w:bCs/>
          <w:sz w:val="26"/>
          <w:szCs w:val="26"/>
        </w:rPr>
      </w:r>
    </w:p>
    <w:p>
      <w:pPr>
        <w:pStyle w:val="Style22"/>
        <w:ind w:firstLine="840"/>
        <w:rPr/>
      </w:pPr>
      <w:r>
        <w:rPr>
          <w:b w:val="false"/>
          <w:sz w:val="26"/>
          <w:szCs w:val="26"/>
        </w:rPr>
        <w:t xml:space="preserve">Комиссия Управления Федеральной антимонопольной службы по Ненецкому автономному округу по рассмотрению сведений о недобросовестном поставщике (далее – Комиссия) в составе: </w:t>
      </w:r>
    </w:p>
    <w:p>
      <w:pPr>
        <w:pStyle w:val="Style22"/>
        <w:ind w:left="0" w:right="0" w:firstLine="540"/>
        <w:rPr>
          <w:b w:val="false"/>
          <w:b w:val="false"/>
          <w:sz w:val="26"/>
          <w:szCs w:val="26"/>
        </w:rPr>
      </w:pPr>
      <w:r>
        <w:rPr>
          <w:b w:val="false"/>
          <w:sz w:val="26"/>
          <w:szCs w:val="26"/>
        </w:rPr>
        <w:t>Председатель Комиссии:</w:t>
      </w:r>
    </w:p>
    <w:p>
      <w:pPr>
        <w:pStyle w:val="Style22"/>
        <w:ind w:left="0" w:right="0" w:firstLine="540"/>
        <w:rPr>
          <w:b w:val="false"/>
          <w:b w:val="false"/>
          <w:sz w:val="26"/>
          <w:szCs w:val="26"/>
        </w:rPr>
      </w:pPr>
      <w:r>
        <w:rPr/>
      </w:r>
    </w:p>
    <w:p>
      <w:pPr>
        <w:pStyle w:val="Style22"/>
        <w:ind w:left="0" w:right="0" w:firstLine="540"/>
        <w:rPr>
          <w:b w:val="false"/>
          <w:b w:val="false"/>
          <w:sz w:val="26"/>
          <w:szCs w:val="26"/>
        </w:rPr>
      </w:pPr>
      <w:r>
        <w:rPr>
          <w:b w:val="false"/>
          <w:sz w:val="26"/>
          <w:szCs w:val="26"/>
        </w:rPr>
        <w:t xml:space="preserve">Члены Комиссии: </w:t>
      </w:r>
    </w:p>
    <w:p>
      <w:pPr>
        <w:pStyle w:val="Style22"/>
        <w:ind w:left="0" w:right="0" w:firstLine="540"/>
        <w:rPr>
          <w:b w:val="false"/>
          <w:b w:val="false"/>
          <w:sz w:val="26"/>
          <w:szCs w:val="26"/>
        </w:rPr>
      </w:pPr>
      <w:r>
        <w:rPr/>
      </w:r>
    </w:p>
    <w:p>
      <w:pPr>
        <w:pStyle w:val="Style22"/>
        <w:ind w:hanging="0"/>
        <w:rPr/>
      </w:pPr>
      <w:r>
        <w:rPr>
          <w:b w:val="false"/>
          <w:sz w:val="26"/>
          <w:szCs w:val="26"/>
        </w:rPr>
        <w:t>проведя проверку и рассмотрев в отсутствии представителя участника закупки Общества с ограниченной ответственностью «Строительное управление 83»</w:t>
      </w:r>
      <w:r>
        <w:rPr>
          <w:b w:val="false"/>
          <w:iCs/>
          <w:sz w:val="26"/>
          <w:szCs w:val="26"/>
        </w:rPr>
        <w:t xml:space="preserve"> (далее по тексту — ООО «СУ 83»)</w:t>
      </w:r>
      <w:r>
        <w:rPr>
          <w:b w:val="false"/>
          <w:sz w:val="26"/>
          <w:szCs w:val="26"/>
        </w:rPr>
        <w:t xml:space="preserve"> (извещен), в присутствии представителя заказчика Казенного учреждения Ненецкого автономного округа «Централизованный стройзаказчик» (далее по тексту КУ НАО «Централизованный стройзаказчик») (доверенность № б/н от 26.01.2016 г.), представленную </w:t>
      </w:r>
      <w:r>
        <w:rPr>
          <w:b w:val="false"/>
          <w:iCs/>
          <w:sz w:val="26"/>
          <w:szCs w:val="26"/>
        </w:rPr>
        <w:t>заказчиком</w:t>
      </w:r>
      <w:r>
        <w:rPr>
          <w:b w:val="false"/>
          <w:sz w:val="26"/>
          <w:szCs w:val="26"/>
        </w:rPr>
        <w:t xml:space="preserve"> информацию о включении в реестр недобросовестных поставщиков сведений об участнике закупки № 0384200001615000048,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Постановлением Правительства Российской Федерации от 25.11.2013 № 1062 «О порядке ведения реестра недобросовестных поставщиков (подрядчиков, исполнителей)»,</w:t>
      </w:r>
    </w:p>
    <w:p>
      <w:pPr>
        <w:pStyle w:val="Style22"/>
        <w:ind w:left="0" w:right="0" w:firstLine="540"/>
        <w:rPr>
          <w:sz w:val="26"/>
          <w:szCs w:val="26"/>
        </w:rPr>
      </w:pPr>
      <w:r>
        <w:rPr>
          <w:sz w:val="26"/>
          <w:szCs w:val="26"/>
        </w:rPr>
      </w:r>
    </w:p>
    <w:p>
      <w:pPr>
        <w:pStyle w:val="Normal"/>
        <w:ind w:left="0" w:right="-50" w:firstLine="540"/>
        <w:jc w:val="center"/>
        <w:rPr>
          <w:sz w:val="26"/>
          <w:szCs w:val="26"/>
        </w:rPr>
      </w:pPr>
      <w:r>
        <w:rPr>
          <w:sz w:val="26"/>
          <w:szCs w:val="26"/>
        </w:rPr>
        <w:t>УСТАНОВИЛА:</w:t>
      </w:r>
    </w:p>
    <w:p>
      <w:pPr>
        <w:pStyle w:val="Normal"/>
        <w:spacing w:before="0" w:after="0"/>
        <w:ind w:left="0" w:right="0" w:firstLine="540"/>
        <w:jc w:val="both"/>
        <w:rPr>
          <w:sz w:val="26"/>
          <w:szCs w:val="26"/>
        </w:rPr>
      </w:pPr>
      <w:r>
        <w:rPr>
          <w:sz w:val="26"/>
          <w:szCs w:val="26"/>
        </w:rPr>
      </w:r>
    </w:p>
    <w:p>
      <w:pPr>
        <w:pStyle w:val="Normal"/>
        <w:spacing w:before="0" w:after="0"/>
        <w:ind w:left="0" w:right="0" w:firstLine="540"/>
        <w:jc w:val="both"/>
        <w:rPr/>
      </w:pPr>
      <w:r>
        <w:rPr>
          <w:sz w:val="26"/>
          <w:szCs w:val="26"/>
        </w:rPr>
        <w:t xml:space="preserve">20.11.2015 года на официальном сайте </w:t>
      </w:r>
      <w:r>
        <w:rPr>
          <w:color w:val="000000"/>
          <w:sz w:val="28"/>
          <w:szCs w:val="28"/>
        </w:rPr>
        <w:t>Р</w:t>
      </w:r>
      <w:r>
        <w:rPr>
          <w:color w:val="000000"/>
          <w:sz w:val="26"/>
          <w:szCs w:val="26"/>
        </w:rPr>
        <w:t>оссийской Федерации для размещения заказов для государственных и муниципальных нужд</w:t>
      </w:r>
      <w:r>
        <w:rPr>
          <w:sz w:val="26"/>
          <w:szCs w:val="26"/>
        </w:rPr>
        <w:t xml:space="preserve"> </w:t>
      </w:r>
      <w:hyperlink r:id="rId3">
        <w:r>
          <w:rPr>
            <w:rStyle w:val="Style14"/>
            <w:color w:val="000000"/>
            <w:sz w:val="26"/>
            <w:szCs w:val="26"/>
            <w:u w:val="none"/>
            <w:lang w:val="en-US"/>
          </w:rPr>
          <w:t>www</w:t>
        </w:r>
        <w:r>
          <w:rPr>
            <w:rStyle w:val="Style14"/>
            <w:color w:val="000000"/>
            <w:sz w:val="26"/>
            <w:szCs w:val="26"/>
            <w:u w:val="none"/>
          </w:rPr>
          <w:t>.</w:t>
        </w:r>
        <w:r>
          <w:rPr>
            <w:rStyle w:val="Style14"/>
            <w:color w:val="000000"/>
            <w:sz w:val="26"/>
            <w:szCs w:val="26"/>
            <w:u w:val="none"/>
            <w:lang w:val="en-US"/>
          </w:rPr>
          <w:t>zakupki</w:t>
        </w:r>
        <w:r>
          <w:rPr>
            <w:rStyle w:val="Style14"/>
            <w:color w:val="000000"/>
            <w:sz w:val="26"/>
            <w:szCs w:val="26"/>
            <w:u w:val="none"/>
          </w:rPr>
          <w:t>.</w:t>
        </w:r>
        <w:r>
          <w:rPr>
            <w:rStyle w:val="Style14"/>
            <w:color w:val="000000"/>
            <w:sz w:val="26"/>
            <w:szCs w:val="26"/>
            <w:u w:val="none"/>
            <w:lang w:val="en-US"/>
          </w:rPr>
          <w:t>gov</w:t>
        </w:r>
        <w:r>
          <w:rPr>
            <w:rStyle w:val="Style14"/>
            <w:color w:val="000000"/>
            <w:sz w:val="26"/>
            <w:szCs w:val="26"/>
            <w:u w:val="none"/>
          </w:rPr>
          <w:t>.</w:t>
        </w:r>
        <w:r>
          <w:rPr>
            <w:rStyle w:val="Style14"/>
            <w:color w:val="000000"/>
            <w:sz w:val="26"/>
            <w:szCs w:val="26"/>
            <w:u w:val="none"/>
            <w:lang w:val="en-US"/>
          </w:rPr>
          <w:t>ru</w:t>
        </w:r>
      </w:hyperlink>
      <w:r>
        <w:rPr>
          <w:sz w:val="26"/>
          <w:szCs w:val="26"/>
        </w:rPr>
        <w:t xml:space="preserve"> (далее по тексту – официальный сайт) было опубликовано извещение о проведении закупки № </w:t>
      </w:r>
      <w:r>
        <w:rPr>
          <w:b w:val="false"/>
          <w:sz w:val="26"/>
          <w:szCs w:val="26"/>
        </w:rPr>
        <w:t>0384200001615000048</w:t>
      </w:r>
      <w:r>
        <w:rPr>
          <w:sz w:val="26"/>
          <w:szCs w:val="26"/>
        </w:rPr>
        <w:t xml:space="preserve">. </w:t>
      </w:r>
    </w:p>
    <w:p>
      <w:pPr>
        <w:pStyle w:val="Normal"/>
        <w:spacing w:before="0" w:after="0"/>
        <w:ind w:left="0" w:right="0" w:firstLine="540"/>
        <w:jc w:val="both"/>
        <w:rPr/>
      </w:pPr>
      <w:r>
        <w:rPr>
          <w:sz w:val="26"/>
          <w:szCs w:val="26"/>
        </w:rPr>
        <w:t xml:space="preserve">Согласно извещению № </w:t>
      </w:r>
      <w:r>
        <w:rPr>
          <w:b w:val="false"/>
          <w:sz w:val="26"/>
          <w:szCs w:val="26"/>
        </w:rPr>
        <w:t>0384200001615000048</w:t>
      </w:r>
      <w:r>
        <w:rPr>
          <w:sz w:val="26"/>
          <w:szCs w:val="26"/>
        </w:rPr>
        <w:t>:</w:t>
      </w:r>
    </w:p>
    <w:p>
      <w:pPr>
        <w:pStyle w:val="Normal"/>
        <w:ind w:firstLine="600"/>
        <w:jc w:val="both"/>
        <w:rPr/>
      </w:pPr>
      <w:r>
        <w:rPr>
          <w:sz w:val="26"/>
          <w:szCs w:val="26"/>
        </w:rPr>
        <w:t>Заказчик –</w:t>
      </w:r>
      <w:r>
        <w:rPr>
          <w:iCs/>
          <w:sz w:val="26"/>
          <w:szCs w:val="26"/>
        </w:rPr>
        <w:t xml:space="preserve"> </w:t>
      </w:r>
      <w:r>
        <w:rPr>
          <w:b w:val="false"/>
          <w:iCs/>
          <w:sz w:val="26"/>
          <w:szCs w:val="26"/>
        </w:rPr>
        <w:t>Казенное учреждение Ненецкого автономного округа «Централизованный стройзаказчик»</w:t>
      </w:r>
      <w:r>
        <w:rPr>
          <w:iCs/>
          <w:sz w:val="26"/>
          <w:szCs w:val="26"/>
        </w:rPr>
        <w:t>.</w:t>
      </w:r>
      <w:r>
        <w:rPr>
          <w:sz w:val="26"/>
          <w:szCs w:val="26"/>
        </w:rPr>
        <w:t xml:space="preserve"> </w:t>
      </w:r>
    </w:p>
    <w:p>
      <w:pPr>
        <w:pStyle w:val="Normal"/>
        <w:ind w:firstLine="600"/>
        <w:jc w:val="both"/>
        <w:rPr/>
      </w:pPr>
      <w:r>
        <w:rPr>
          <w:sz w:val="26"/>
          <w:szCs w:val="26"/>
        </w:rPr>
        <w:t>Предмет закупки – Строительство коридора для тепличного комбината в г. Нарьян-Маре, с разработкой проектной документации.</w:t>
      </w:r>
    </w:p>
    <w:p>
      <w:pPr>
        <w:pStyle w:val="Normal"/>
        <w:ind w:firstLine="600"/>
        <w:jc w:val="both"/>
        <w:rPr/>
      </w:pPr>
      <w:r>
        <w:rPr>
          <w:sz w:val="26"/>
          <w:szCs w:val="26"/>
        </w:rPr>
        <w:t>Способ определения поставщика (подрядчика, исполнителя) - электронный аукцион.</w:t>
      </w:r>
    </w:p>
    <w:p>
      <w:pPr>
        <w:pStyle w:val="Normal"/>
        <w:ind w:firstLine="600"/>
        <w:jc w:val="both"/>
        <w:rPr/>
      </w:pPr>
      <w:r>
        <w:rPr>
          <w:sz w:val="26"/>
          <w:szCs w:val="26"/>
        </w:rPr>
        <w:t>Начальная (максимальная) цена контракта – 1 729 412.71 рублей.</w:t>
      </w:r>
    </w:p>
    <w:p>
      <w:pPr>
        <w:pStyle w:val="Normal"/>
        <w:ind w:firstLine="600"/>
        <w:jc w:val="both"/>
        <w:rPr/>
      </w:pPr>
      <w:r>
        <w:rPr>
          <w:b w:val="false"/>
          <w:bCs w:val="false"/>
          <w:sz w:val="26"/>
          <w:szCs w:val="26"/>
        </w:rPr>
        <w:t xml:space="preserve">В соответствии с </w:t>
      </w:r>
      <w:r>
        <w:rPr>
          <w:rFonts w:cs="Calibri"/>
          <w:b w:val="false"/>
          <w:bCs w:val="false"/>
          <w:sz w:val="26"/>
          <w:szCs w:val="26"/>
        </w:rPr>
        <w:t>Протоколом подведения итогов электронного аукциона «Строительство коридора для тепличного комбината в г. Нарьян-Маре, с разработкой проектной документации»</w:t>
      </w:r>
      <w:r>
        <w:rPr>
          <w:b w:val="false"/>
          <w:bCs w:val="false"/>
          <w:sz w:val="26"/>
          <w:szCs w:val="26"/>
        </w:rPr>
        <w:t xml:space="preserve"> от 07.12.2015 г. аукционная комиссия заказчика признала победителем Общество с ограниченной ответственностью «Строительное управление 83»</w:t>
      </w:r>
      <w:bookmarkStart w:id="0" w:name="_GoBack"/>
      <w:bookmarkEnd w:id="0"/>
      <w:r>
        <w:rPr>
          <w:b w:val="false"/>
          <w:bCs w:val="false"/>
          <w:sz w:val="26"/>
          <w:szCs w:val="26"/>
        </w:rPr>
        <w:t>.</w:t>
      </w:r>
    </w:p>
    <w:p>
      <w:pPr>
        <w:pStyle w:val="Normal"/>
        <w:ind w:firstLine="600"/>
        <w:jc w:val="both"/>
        <w:rPr>
          <w:rFonts w:ascii="Times New Roman" w:hAnsi="Times New Roman"/>
          <w:b w:val="false"/>
          <w:b w:val="false"/>
          <w:bCs w:val="false"/>
          <w:sz w:val="26"/>
          <w:szCs w:val="26"/>
        </w:rPr>
      </w:pPr>
      <w:r>
        <w:rPr>
          <w:b w:val="false"/>
          <w:bCs w:val="false"/>
          <w:sz w:val="26"/>
          <w:szCs w:val="26"/>
        </w:rPr>
        <w:t xml:space="preserve">23.12.2015 КУ НАО «Централизованный стройзаказчик» заключило </w:t>
      </w:r>
      <w:bookmarkStart w:id="1" w:name="__DdeLink__506_167080965"/>
      <w:r>
        <w:rPr>
          <w:b w:val="false"/>
          <w:bCs w:val="false"/>
          <w:sz w:val="26"/>
          <w:szCs w:val="26"/>
        </w:rPr>
        <w:t>государственный контракт № 0384200001615000048</w:t>
      </w:r>
      <w:bookmarkEnd w:id="1"/>
      <w:r>
        <w:rPr>
          <w:b w:val="false"/>
          <w:bCs w:val="false"/>
          <w:sz w:val="26"/>
          <w:szCs w:val="26"/>
        </w:rPr>
        <w:t xml:space="preserve"> (далее по тексту - контракт) с ООО «СУ 83».</w:t>
      </w:r>
    </w:p>
    <w:p>
      <w:pPr>
        <w:pStyle w:val="Normal"/>
        <w:ind w:firstLine="600"/>
        <w:jc w:val="both"/>
        <w:rPr>
          <w:rFonts w:ascii="Times New Roman" w:hAnsi="Times New Roman"/>
          <w:b w:val="false"/>
          <w:b w:val="false"/>
          <w:bCs w:val="false"/>
          <w:sz w:val="26"/>
          <w:szCs w:val="26"/>
        </w:rPr>
      </w:pPr>
      <w:r>
        <w:rPr>
          <w:b w:val="false"/>
          <w:bCs w:val="false"/>
          <w:sz w:val="26"/>
          <w:szCs w:val="26"/>
        </w:rPr>
        <w:t>Согласно информации, представленной заявителем (вх. № 1281, № 1380):</w:t>
      </w:r>
    </w:p>
    <w:p>
      <w:pPr>
        <w:pStyle w:val="Normal"/>
        <w:ind w:firstLine="600"/>
        <w:jc w:val="both"/>
        <w:rPr>
          <w:rFonts w:ascii="Times New Roman" w:hAnsi="Times New Roman"/>
          <w:b w:val="false"/>
          <w:b w:val="false"/>
          <w:bCs w:val="false"/>
          <w:sz w:val="26"/>
          <w:szCs w:val="26"/>
        </w:rPr>
      </w:pPr>
      <w:r>
        <w:rPr>
          <w:b w:val="false"/>
          <w:bCs w:val="false"/>
          <w:sz w:val="26"/>
          <w:szCs w:val="26"/>
        </w:rPr>
        <w:t>Согласно пункта 1.1 контракта п</w:t>
      </w:r>
      <w:r>
        <w:rPr>
          <w:rFonts w:eastAsia="Times New Roman" w:cs="Times New Roman"/>
          <w:b w:val="false"/>
          <w:bCs w:val="false"/>
          <w:sz w:val="26"/>
          <w:szCs w:val="26"/>
        </w:rPr>
        <w:t>одрядчик обязуется выполнить по заданию Заказчика в сроки, предусмотренные настоящим Контрактом,</w:t>
      </w:r>
      <w:r>
        <w:rPr>
          <w:rFonts w:eastAsia="Times New Roman" w:cs="Times New Roman"/>
          <w:b w:val="false"/>
          <w:bCs w:val="false"/>
          <w:iCs/>
          <w:sz w:val="26"/>
          <w:szCs w:val="26"/>
        </w:rPr>
        <w:t xml:space="preserve"> на свой риск, собственными и (или) привлеченными силами и средствами работы </w:t>
      </w:r>
      <w:r>
        <w:rPr>
          <w:rFonts w:eastAsia="Times New Roman" w:cs="Times New Roman"/>
          <w:b w:val="false"/>
          <w:bCs w:val="false"/>
          <w:sz w:val="26"/>
          <w:szCs w:val="26"/>
        </w:rPr>
        <w:t>по строительству коридора для тепличного комбината в г. Нарьян-Маре в рамках реализации мероприятия «Строительство коридора для тепличного комбината в г. Нарьян-Маре, с разработкой проектной документации» (далее по тексту – объект), включая работы определенно не упомянутые в Контракте, но необходимые для реконструкции  объекта и обеспечивающие нормальную его эксплуатацию в течение гарантийного срока, установленного настоящим Контрактом и передать их результат Заказчику, а Заказчик обязуется принять результат выполненных работ и оплатить его.</w:t>
      </w:r>
    </w:p>
    <w:p>
      <w:pPr>
        <w:pStyle w:val="Normal"/>
        <w:ind w:firstLine="600"/>
        <w:jc w:val="both"/>
        <w:rPr>
          <w:rFonts w:ascii="Times New Roman" w:hAnsi="Times New Roman"/>
          <w:sz w:val="26"/>
          <w:szCs w:val="26"/>
        </w:rPr>
      </w:pPr>
      <w:r>
        <w:rPr>
          <w:rFonts w:eastAsia="Times New Roman" w:cs="Times New Roman"/>
          <w:b w:val="false"/>
          <w:bCs w:val="false"/>
          <w:sz w:val="26"/>
          <w:szCs w:val="26"/>
        </w:rPr>
        <w:t xml:space="preserve">В соответствии с пунктом 3.1, подпунктами 3.1.1 — 3.1.2 подрядчик обязуется выполнить работы, являющиеся предметом настоящего Контракта, в сроки, установленные Календарным планом выполнения работ (Приложение № 1 к настоящему Контракту), являющимся неотъемлемой частью настоящего Контракта, при этом: </w:t>
      </w:r>
      <w:r>
        <w:rPr>
          <w:rFonts w:eastAsia="Times New Roman" w:cs="Times New Roman"/>
          <w:sz w:val="26"/>
          <w:szCs w:val="26"/>
        </w:rPr>
        <w:t>начало выполнения работ – в течение 10 дней с даты заключения настоящего Контракта.</w:t>
      </w:r>
      <w:r>
        <w:rPr>
          <w:rFonts w:eastAsia="Times New Roman" w:cs="Times New Roman"/>
          <w:b w:val="false"/>
          <w:bCs w:val="false"/>
          <w:sz w:val="26"/>
          <w:szCs w:val="26"/>
        </w:rPr>
        <w:t xml:space="preserve"> Подрядчик считается исполнившим свои обязательства в части завершения строительства с даты подписания Сторонами акта приёмки законченного строительством объекта формы № КС-11 не позднее </w:t>
      </w:r>
      <w:r>
        <w:rPr>
          <w:rFonts w:eastAsia="Times New Roman" w:cs="Times New Roman"/>
          <w:b/>
          <w:bCs w:val="false"/>
          <w:sz w:val="26"/>
          <w:szCs w:val="26"/>
        </w:rPr>
        <w:t>25 июля 2016 года</w:t>
      </w:r>
      <w:r>
        <w:rPr>
          <w:rFonts w:eastAsia="Times New Roman" w:cs="Times New Roman"/>
          <w:b w:val="false"/>
          <w:bCs w:val="false"/>
          <w:sz w:val="26"/>
          <w:szCs w:val="26"/>
        </w:rPr>
        <w:t>.</w:t>
      </w:r>
    </w:p>
    <w:p>
      <w:pPr>
        <w:pStyle w:val="Normal"/>
        <w:ind w:firstLine="600"/>
        <w:jc w:val="both"/>
        <w:rPr>
          <w:rFonts w:ascii="Times New Roman" w:hAnsi="Times New Roman"/>
          <w:sz w:val="26"/>
          <w:szCs w:val="26"/>
        </w:rPr>
      </w:pPr>
      <w:r>
        <w:rPr>
          <w:rFonts w:eastAsia="Times New Roman" w:cs="Times New Roman"/>
          <w:b w:val="false"/>
          <w:bCs w:val="false"/>
          <w:sz w:val="26"/>
          <w:szCs w:val="26"/>
        </w:rPr>
        <w:t>31.12.2015 Заказчик направил запрос подрядчику (исх. №3594/1) о предоставлении календарного плана выполнении работ, сводного сметного расчета стоимости работ. Ответ на указанный запрос в адрес Заказчика не поступил.</w:t>
      </w:r>
    </w:p>
    <w:p>
      <w:pPr>
        <w:pStyle w:val="Normal"/>
        <w:ind w:firstLine="600"/>
        <w:jc w:val="both"/>
        <w:rPr>
          <w:rFonts w:ascii="Times New Roman" w:hAnsi="Times New Roman"/>
          <w:sz w:val="26"/>
          <w:szCs w:val="26"/>
        </w:rPr>
      </w:pPr>
      <w:r>
        <w:rPr>
          <w:rFonts w:eastAsia="Times New Roman" w:cs="Times New Roman"/>
          <w:b w:val="false"/>
          <w:bCs w:val="false"/>
          <w:sz w:val="26"/>
          <w:szCs w:val="26"/>
        </w:rPr>
        <w:t>12.01.2016 Заказчик повторно направил запрос (исх. №17) о предоставлении календарного плана выполнении работ, сводного сметного расчета стоимости работ с требованием предоставить объяснения в срок до 16 часов 13.01.2016 года.</w:t>
      </w:r>
    </w:p>
    <w:p>
      <w:pPr>
        <w:pStyle w:val="Normal"/>
        <w:ind w:firstLine="600"/>
        <w:jc w:val="both"/>
        <w:rPr>
          <w:rFonts w:ascii="Times New Roman" w:hAnsi="Times New Roman"/>
          <w:sz w:val="26"/>
          <w:szCs w:val="26"/>
        </w:rPr>
      </w:pPr>
      <w:r>
        <w:rPr>
          <w:rFonts w:eastAsia="Times New Roman" w:cs="Times New Roman"/>
          <w:b w:val="false"/>
          <w:bCs w:val="false"/>
          <w:sz w:val="26"/>
          <w:szCs w:val="26"/>
        </w:rPr>
        <w:t>13.01.2016 Заказчик направил требование об уплате штрафа (исх. №30) в размере  91 576 рублей 99 копеек в срок до 29.01.2016 года.</w:t>
      </w:r>
    </w:p>
    <w:p>
      <w:pPr>
        <w:pStyle w:val="Normal"/>
        <w:ind w:firstLine="600"/>
        <w:jc w:val="both"/>
        <w:rPr>
          <w:rFonts w:ascii="Times New Roman" w:hAnsi="Times New Roman"/>
          <w:sz w:val="26"/>
          <w:szCs w:val="26"/>
        </w:rPr>
      </w:pPr>
      <w:r>
        <w:rPr>
          <w:rFonts w:eastAsia="Times New Roman" w:cs="Times New Roman"/>
          <w:b w:val="false"/>
          <w:bCs w:val="false"/>
          <w:sz w:val="26"/>
          <w:szCs w:val="26"/>
        </w:rPr>
        <w:t>15.01.2016 Подрядчик направил в адрес Заказчика ответ на требование об уплате штрафа, а так же предоставил календарный план.</w:t>
      </w:r>
    </w:p>
    <w:p>
      <w:pPr>
        <w:pStyle w:val="Normal"/>
        <w:ind w:firstLine="600"/>
        <w:jc w:val="both"/>
        <w:rPr>
          <w:rFonts w:ascii="Times New Roman" w:hAnsi="Times New Roman"/>
          <w:sz w:val="26"/>
          <w:szCs w:val="26"/>
        </w:rPr>
      </w:pPr>
      <w:r>
        <w:rPr>
          <w:rFonts w:eastAsia="Times New Roman" w:cs="Times New Roman"/>
          <w:b w:val="false"/>
          <w:bCs w:val="false"/>
          <w:sz w:val="26"/>
          <w:szCs w:val="26"/>
        </w:rPr>
        <w:t>20.01. 2016 Заказчик вернул Подрядчику календарный план (исх. №104) без согласования, по причинам отсутствия детализированности по видам работ, необоснованного перерыва в производстве работ, и несоответствия предоставленного календарного плана контракту, а так же повторно запросил сводный сметный расчет.</w:t>
      </w:r>
    </w:p>
    <w:p>
      <w:pPr>
        <w:pStyle w:val="Normal"/>
        <w:ind w:firstLine="600"/>
        <w:jc w:val="both"/>
        <w:rPr/>
      </w:pPr>
      <w:r>
        <w:rPr>
          <w:rFonts w:eastAsia="Times New Roman" w:cs="Times New Roman"/>
          <w:b w:val="false"/>
          <w:bCs w:val="false"/>
          <w:sz w:val="26"/>
          <w:szCs w:val="26"/>
        </w:rPr>
        <w:t>В связи с тем, что Подрядчиком не был предоставлен календарный план выполнения работ, сводный сметный расчет, отсутствие работ на объекте, Заказчик, руководствуюсь часть 9 статьи 95 Закона о контрактной системе, принял решение об одностороннем отказе от исполнения   государственного контракта от 23.12.2015 № 0384200001615000048.</w:t>
      </w:r>
    </w:p>
    <w:p>
      <w:pPr>
        <w:pStyle w:val="Normal"/>
        <w:ind w:firstLine="600"/>
        <w:jc w:val="both"/>
        <w:rPr>
          <w:rFonts w:ascii="Times New Roman" w:hAnsi="Times New Roman" w:eastAsia="Times New Roman" w:cs="Times New Roman"/>
          <w:b w:val="false"/>
          <w:b w:val="false"/>
          <w:bCs w:val="false"/>
          <w:sz w:val="26"/>
          <w:szCs w:val="26"/>
        </w:rPr>
      </w:pPr>
      <w:r>
        <w:rPr>
          <w:rFonts w:eastAsia="Times New Roman" w:cs="Times New Roman"/>
          <w:b w:val="false"/>
          <w:bCs w:val="false"/>
          <w:sz w:val="26"/>
          <w:szCs w:val="26"/>
        </w:rPr>
      </w:r>
    </w:p>
    <w:p>
      <w:pPr>
        <w:pStyle w:val="Normal"/>
        <w:ind w:firstLine="600"/>
        <w:jc w:val="both"/>
        <w:rPr/>
      </w:pPr>
      <w:r>
        <w:rPr>
          <w:rFonts w:eastAsia="Times New Roman" w:cs="Times New Roman"/>
          <w:b w:val="false"/>
          <w:bCs w:val="false"/>
          <w:sz w:val="26"/>
          <w:szCs w:val="26"/>
        </w:rPr>
        <w:t>По информации полученной от Порядчика ООО «СУ 83 (вх. №1400):</w:t>
      </w:r>
    </w:p>
    <w:p>
      <w:pPr>
        <w:pStyle w:val="Normal"/>
        <w:ind w:firstLine="600"/>
        <w:jc w:val="both"/>
        <w:rPr/>
      </w:pPr>
      <w:r>
        <w:rPr>
          <w:rFonts w:eastAsia="Times New Roman" w:cs="Times New Roman"/>
          <w:b w:val="false"/>
          <w:bCs w:val="false"/>
          <w:sz w:val="26"/>
          <w:szCs w:val="26"/>
        </w:rPr>
        <w:t>40% работ предусмотренных проектно-сметной документацией были фактически выполнены Подрядчиком и в настоящий момент исполняются. Окончание работ, согласно контракта — 25.07.2016 года, что не указывает на нарушение сроков исполнения контракта.</w:t>
      </w:r>
    </w:p>
    <w:p>
      <w:pPr>
        <w:pStyle w:val="Normal"/>
        <w:ind w:firstLine="600"/>
        <w:jc w:val="both"/>
        <w:rPr>
          <w:rFonts w:ascii="Times New Roman" w:hAnsi="Times New Roman"/>
          <w:b w:val="false"/>
          <w:b w:val="false"/>
          <w:bCs w:val="false"/>
          <w:sz w:val="26"/>
          <w:szCs w:val="26"/>
        </w:rPr>
      </w:pPr>
      <w:r>
        <w:rPr>
          <w:b w:val="false"/>
          <w:bCs w:val="false"/>
          <w:sz w:val="26"/>
          <w:szCs w:val="26"/>
        </w:rPr>
      </w:r>
    </w:p>
    <w:p>
      <w:pPr>
        <w:pStyle w:val="Normal"/>
        <w:ind w:firstLine="540"/>
        <w:jc w:val="both"/>
        <w:rPr/>
      </w:pPr>
      <w:r>
        <w:rPr>
          <w:sz w:val="26"/>
          <w:szCs w:val="26"/>
        </w:rPr>
        <w:t xml:space="preserve">Согласно </w:t>
      </w:r>
      <w:hyperlink r:id="rId4">
        <w:r>
          <w:rPr>
            <w:rStyle w:val="Style14"/>
            <w:color w:val="0000FF"/>
            <w:sz w:val="26"/>
            <w:szCs w:val="26"/>
          </w:rPr>
          <w:t>части 2 статьи 104</w:t>
        </w:r>
      </w:hyperlink>
      <w:r>
        <w:rPr>
          <w:sz w:val="26"/>
          <w:szCs w:val="26"/>
        </w:rPr>
        <w:t xml:space="preserve"> Закона о контрактной системе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pPr>
        <w:pStyle w:val="Normal"/>
        <w:ind w:firstLine="540"/>
        <w:jc w:val="both"/>
        <w:rPr/>
      </w:pPr>
      <w:r>
        <w:rPr>
          <w:sz w:val="26"/>
          <w:szCs w:val="26"/>
        </w:rPr>
        <w:t xml:space="preserve">Согласно </w:t>
      </w:r>
      <w:hyperlink r:id="rId5">
        <w:r>
          <w:rPr>
            <w:rStyle w:val="Style14"/>
            <w:color w:val="0000FF"/>
            <w:sz w:val="26"/>
            <w:szCs w:val="26"/>
          </w:rPr>
          <w:t>части 10 статьи 104</w:t>
        </w:r>
      </w:hyperlink>
      <w:r>
        <w:rPr>
          <w:sz w:val="26"/>
          <w:szCs w:val="26"/>
        </w:rPr>
        <w:t xml:space="preserve"> Закона о контрактной системе </w:t>
      </w:r>
      <w:hyperlink r:id="rId6">
        <w:r>
          <w:rPr>
            <w:rStyle w:val="Style14"/>
            <w:color w:val="0000FF"/>
            <w:sz w:val="26"/>
            <w:szCs w:val="26"/>
          </w:rPr>
          <w:t>Порядок</w:t>
        </w:r>
      </w:hyperlink>
      <w:r>
        <w:rPr>
          <w:sz w:val="26"/>
          <w:szCs w:val="26"/>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pPr>
        <w:pStyle w:val="Normal"/>
        <w:ind w:firstLine="540"/>
        <w:jc w:val="both"/>
        <w:rPr/>
      </w:pPr>
      <w:r>
        <w:rPr>
          <w:sz w:val="26"/>
          <w:szCs w:val="26"/>
        </w:rPr>
        <w:t xml:space="preserve">В соответствии с </w:t>
      </w:r>
      <w:hyperlink r:id="rId7">
        <w:r>
          <w:rPr>
            <w:rStyle w:val="Style14"/>
            <w:color w:val="0000FF"/>
            <w:sz w:val="26"/>
            <w:szCs w:val="26"/>
          </w:rPr>
          <w:t>частью 10 статьи 104</w:t>
        </w:r>
      </w:hyperlink>
      <w:r>
        <w:rPr>
          <w:sz w:val="26"/>
          <w:szCs w:val="26"/>
        </w:rPr>
        <w:t xml:space="preserve"> Закона о контрактной системе Правительством Российской Федерации утверждены </w:t>
      </w:r>
      <w:hyperlink r:id="rId8">
        <w:r>
          <w:rPr>
            <w:rStyle w:val="Style14"/>
            <w:color w:val="0000FF"/>
            <w:sz w:val="26"/>
            <w:szCs w:val="26"/>
          </w:rPr>
          <w:t>Правила</w:t>
        </w:r>
      </w:hyperlink>
      <w:r>
        <w:rPr>
          <w:sz w:val="26"/>
          <w:szCs w:val="26"/>
        </w:rPr>
        <w:t xml:space="preserve"> ведения реестра недобросовестных поставщиков (подрядчиков, исполнителей) Постановлением Правительства РФ от 25.11.2013 N 1062 «О порядке ведения реестра недобросовестных поставщиков (подрядчиков, исполнителей)» (далее по тексту – Правила).</w:t>
      </w:r>
    </w:p>
    <w:p>
      <w:pPr>
        <w:pStyle w:val="Normal"/>
        <w:ind w:firstLine="540"/>
        <w:jc w:val="both"/>
        <w:rPr>
          <w:rFonts w:ascii="Times New Roman" w:hAnsi="Times New Roman"/>
          <w:sz w:val="26"/>
          <w:szCs w:val="26"/>
        </w:rPr>
      </w:pPr>
      <w:r>
        <w:rPr>
          <w:sz w:val="26"/>
          <w:szCs w:val="26"/>
        </w:rPr>
        <w:t xml:space="preserve">Согласно пункта 12 Правил, Рассмотрение вопроса о включении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 осуществляется с участием представителей заказчика и лица, информация о котором направлена заказчиком для включения в реестр. В случае неявки указанных лиц или их представителей рассмотрение указанного вопроса осуществляется в их отсутствие в пределах срока, предусмотренного </w:t>
      </w:r>
      <w:r>
        <w:rPr>
          <w:color w:val="0000FF"/>
          <w:sz w:val="26"/>
          <w:szCs w:val="26"/>
        </w:rPr>
        <w:t>пунктом 11</w:t>
      </w:r>
      <w:r>
        <w:rPr>
          <w:sz w:val="26"/>
          <w:szCs w:val="26"/>
        </w:rPr>
        <w:t xml:space="preserve"> настоящих Правил. В рассмотрении вправе принять участие иные заинтересованные лица.</w:t>
      </w:r>
    </w:p>
    <w:p>
      <w:pPr>
        <w:pStyle w:val="ConsPlusNormal"/>
        <w:ind w:left="0" w:firstLine="540"/>
        <w:jc w:val="both"/>
        <w:rPr>
          <w:b w:val="false"/>
          <w:b w:val="false"/>
        </w:rPr>
      </w:pPr>
      <w:r>
        <w:rPr>
          <w:rFonts w:ascii="Times New Roman" w:hAnsi="Times New Roman"/>
          <w:sz w:val="26"/>
          <w:szCs w:val="26"/>
        </w:rPr>
        <w:t xml:space="preserve">По результатам рассмотрения представленных информации и документов и проведения проверки фактов, указанных в </w:t>
      </w:r>
      <w:r>
        <w:rPr>
          <w:rFonts w:ascii="Times New Roman" w:hAnsi="Times New Roman"/>
          <w:color w:val="0000FF"/>
          <w:sz w:val="26"/>
          <w:szCs w:val="26"/>
        </w:rPr>
        <w:t>пункте 11</w:t>
      </w:r>
      <w:r>
        <w:rPr>
          <w:rFonts w:ascii="Times New Roman" w:hAnsi="Times New Roman"/>
          <w:sz w:val="26"/>
          <w:szCs w:val="26"/>
        </w:rPr>
        <w:t xml:space="preserve"> настоящих Правил, выносится решение. В случае подтверждения достоверности указанных фактов уполномоченный орган выносит решение о включении информации о недобросовестном поставщике (подрядчике, исполнителе) в реестр. В ином случае уполномоченный орган выносит решение об отказе во включении информации о поставщике (подрядчике, исполнителе) в реестр. Копии вынесенного уполномоченным органом решения направляются заказчику, лицу, информация о котором направлена заказчиком для включения в реестр, и иным заинтересованным лицам.</w:t>
      </w:r>
    </w:p>
    <w:p>
      <w:pPr>
        <w:pStyle w:val="Normal"/>
        <w:ind w:firstLine="540"/>
        <w:jc w:val="both"/>
        <w:rPr/>
      </w:pPr>
      <w:r>
        <w:rPr>
          <w:sz w:val="26"/>
          <w:szCs w:val="26"/>
        </w:rPr>
        <w:t xml:space="preserve">В соответствии с пунктом 11 Правил уполномоченный орган осуществляет проверку информации и документов, </w:t>
      </w:r>
      <w:r>
        <w:rPr>
          <w:b/>
          <w:sz w:val="26"/>
          <w:szCs w:val="26"/>
        </w:rPr>
        <w:t>на наличие фактов, подтверждающих недобросовестность</w:t>
      </w:r>
      <w:r>
        <w:rPr>
          <w:sz w:val="26"/>
          <w:szCs w:val="26"/>
        </w:rPr>
        <w:t xml:space="preserve"> поставщика (подрядчика, исполнителя), в течение 10 рабочих дней с даты их поступления.</w:t>
      </w:r>
    </w:p>
    <w:p>
      <w:pPr>
        <w:pStyle w:val="Normal"/>
        <w:ind w:firstLine="540"/>
        <w:jc w:val="both"/>
        <w:rPr>
          <w:sz w:val="26"/>
          <w:szCs w:val="26"/>
        </w:rPr>
      </w:pPr>
      <w:r>
        <w:rPr>
          <w:sz w:val="26"/>
          <w:szCs w:val="26"/>
        </w:rPr>
      </w:r>
    </w:p>
    <w:p>
      <w:pPr>
        <w:pStyle w:val="Normal"/>
        <w:numPr>
          <w:ilvl w:val="0"/>
          <w:numId w:val="0"/>
        </w:numPr>
        <w:ind w:firstLine="600"/>
        <w:jc w:val="both"/>
        <w:outlineLvl w:val="1"/>
        <w:rPr/>
      </w:pPr>
      <w:r>
        <w:rPr>
          <w:rStyle w:val="Iceouttxt1"/>
          <w:rFonts w:cs="Times New Roman"/>
          <w:bCs/>
          <w:color w:val="000000"/>
          <w:sz w:val="26"/>
          <w:szCs w:val="26"/>
        </w:rPr>
        <w:t xml:space="preserve">Учитывая сведения, представленные в материалы дела заказчиком и участником данной закупки, комиссия антимонопольного органа приходит к выводу о том, что в действиях участника </w:t>
      </w:r>
      <w:r>
        <w:rPr>
          <w:rStyle w:val="Iceouttxt1"/>
          <w:rFonts w:cs="Times New Roman"/>
          <w:b/>
          <w:bCs/>
          <w:color w:val="000000"/>
          <w:sz w:val="26"/>
          <w:szCs w:val="26"/>
        </w:rPr>
        <w:t>отсутствуют признаки недобросовестности</w:t>
      </w:r>
      <w:r>
        <w:rPr>
          <w:rStyle w:val="Iceouttxt1"/>
          <w:rFonts w:cs="Times New Roman"/>
          <w:bCs/>
          <w:color w:val="000000"/>
          <w:sz w:val="26"/>
          <w:szCs w:val="26"/>
        </w:rPr>
        <w:t>, а именно календарный план поступил в адрес истца 18.01.2016 (вх. №76 от 18.01.2016). Поскольку порядок и сроки согласования календарного плана Заказчиком не регламентированы, то обязанность, установленную пунктом 4.1.1 контракта можно считать исполненной Подрядчиком с момента предоставления календарного плана Заказчику. Согласно письма (исх. № 1194 от 05.05.2016) Заказчик направил в адрес Подрядчика Акт проверки объема выполненных работ на объекте «строительство коридора для тепличного комбината в г. Нарьян-Маре, с разработкой проектной документации» и предписание о приостановке работ до момента устранения замечаний, данные документы в материалы дела не представлены и комиссией не изучены.</w:t>
      </w:r>
    </w:p>
    <w:p>
      <w:pPr>
        <w:pStyle w:val="Normal"/>
        <w:numPr>
          <w:ilvl w:val="0"/>
          <w:numId w:val="0"/>
        </w:numPr>
        <w:ind w:firstLine="840"/>
        <w:jc w:val="both"/>
        <w:outlineLvl w:val="1"/>
        <w:rPr/>
      </w:pPr>
      <w:r>
        <w:rPr>
          <w:rStyle w:val="Iceouttxt1"/>
          <w:rFonts w:cs="Times New Roman"/>
          <w:bCs/>
          <w:color w:val="000000"/>
          <w:sz w:val="26"/>
          <w:szCs w:val="26"/>
        </w:rPr>
        <w:t>Иных документов и информации, подтверждающих то, что заказчик контролировал и требовал исполнения контракта в материалы дела не представлено.</w:t>
      </w:r>
    </w:p>
    <w:p>
      <w:pPr>
        <w:pStyle w:val="Normal"/>
        <w:numPr>
          <w:ilvl w:val="0"/>
          <w:numId w:val="0"/>
        </w:numPr>
        <w:ind w:firstLine="840"/>
        <w:jc w:val="both"/>
        <w:outlineLvl w:val="1"/>
        <w:rPr>
          <w:rStyle w:val="Iceouttxt1"/>
          <w:rFonts w:ascii="Times New Roman" w:hAnsi="Times New Roman" w:cs="Times New Roman"/>
          <w:bCs/>
          <w:color w:val="000000"/>
          <w:sz w:val="26"/>
          <w:szCs w:val="26"/>
        </w:rPr>
      </w:pPr>
      <w:r>
        <w:rPr>
          <w:rFonts w:cs="Times New Roman"/>
          <w:bCs/>
          <w:color w:val="000000"/>
          <w:sz w:val="26"/>
          <w:szCs w:val="26"/>
        </w:rPr>
      </w:r>
    </w:p>
    <w:p>
      <w:pPr>
        <w:pStyle w:val="Normal"/>
        <w:numPr>
          <w:ilvl w:val="0"/>
          <w:numId w:val="0"/>
        </w:numPr>
        <w:ind w:firstLine="840"/>
        <w:jc w:val="both"/>
        <w:outlineLvl w:val="1"/>
        <w:rPr/>
      </w:pPr>
      <w:r>
        <w:rPr>
          <w:rStyle w:val="Iceouttxt1"/>
          <w:rFonts w:cs="Times New Roman"/>
          <w:bCs/>
          <w:color w:val="000000"/>
          <w:sz w:val="26"/>
          <w:szCs w:val="26"/>
        </w:rPr>
        <w:t xml:space="preserve">Согласно части 12 статьи 95 Закона о контрактной системе, </w:t>
      </w:r>
      <w:r>
        <w:rPr>
          <w:rStyle w:val="Iceouttxt1"/>
          <w:rFonts w:cs="Times New Roman"/>
          <w:b/>
          <w:bCs/>
          <w:color w:val="000000"/>
          <w:sz w:val="26"/>
          <w:szCs w:val="26"/>
        </w:rPr>
        <w:t>решение заказчика</w:t>
      </w:r>
      <w:r>
        <w:rPr>
          <w:rStyle w:val="Iceouttxt1"/>
          <w:rFonts w:cs="Times New Roman"/>
          <w:bCs/>
          <w:color w:val="000000"/>
          <w:sz w:val="26"/>
          <w:szCs w:val="26"/>
        </w:rPr>
        <w:t xml:space="preserve"> об одностороннем отказе от исполнения контракта </w:t>
      </w:r>
      <w:r>
        <w:rPr>
          <w:rStyle w:val="Iceouttxt1"/>
          <w:rFonts w:cs="Times New Roman"/>
          <w:b/>
          <w:bCs/>
          <w:color w:val="000000"/>
          <w:sz w:val="26"/>
          <w:szCs w:val="26"/>
        </w:rPr>
        <w:t>не позднее чем в течение трех рабочих дней с даты принятия указанного решения, размещается в единой информационной системе</w:t>
      </w:r>
      <w:r>
        <w:rPr>
          <w:rStyle w:val="Iceouttxt1"/>
          <w:rFonts w:cs="Times New Roman"/>
          <w:bCs/>
          <w:color w:val="000000"/>
          <w:sz w:val="26"/>
          <w:szCs w:val="26"/>
        </w:rPr>
        <w:t xml:space="preserve">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numPr>
          <w:ilvl w:val="0"/>
          <w:numId w:val="0"/>
        </w:numPr>
        <w:ind w:firstLine="840"/>
        <w:jc w:val="both"/>
        <w:outlineLvl w:val="1"/>
        <w:rPr>
          <w:rStyle w:val="Iceouttxt1"/>
          <w:rFonts w:ascii="Times New Roman" w:hAnsi="Times New Roman" w:cs="Times New Roman"/>
          <w:bCs/>
          <w:color w:val="000000"/>
          <w:sz w:val="28"/>
          <w:szCs w:val="28"/>
        </w:rPr>
      </w:pPr>
      <w:r>
        <w:rPr>
          <w:rFonts w:cs="Times New Roman"/>
          <w:bCs/>
          <w:color w:val="000000"/>
          <w:sz w:val="28"/>
          <w:szCs w:val="28"/>
        </w:rPr>
      </w:r>
    </w:p>
    <w:p>
      <w:pPr>
        <w:sectPr>
          <w:headerReference w:type="default" r:id="rId9"/>
          <w:footerReference w:type="default" r:id="rId10"/>
          <w:type w:val="nextPage"/>
          <w:pgSz w:w="11906" w:h="16838"/>
          <w:pgMar w:left="1701" w:right="567" w:header="709" w:top="851" w:footer="709" w:bottom="1134" w:gutter="0"/>
          <w:pgNumType w:fmt="decimal"/>
          <w:formProt w:val="false"/>
          <w:textDirection w:val="lrTb"/>
          <w:docGrid w:type="default" w:linePitch="360" w:charSpace="2047"/>
        </w:sectPr>
        <w:pStyle w:val="Normal"/>
        <w:numPr>
          <w:ilvl w:val="0"/>
          <w:numId w:val="0"/>
        </w:numPr>
        <w:ind w:firstLine="840"/>
        <w:jc w:val="both"/>
        <w:outlineLvl w:val="1"/>
        <w:rPr/>
      </w:pPr>
      <w:r>
        <w:rPr>
          <w:rStyle w:val="Iceouttxt1"/>
          <w:rFonts w:cs="Times New Roman"/>
          <w:bCs/>
          <w:color w:val="000000"/>
          <w:sz w:val="26"/>
          <w:szCs w:val="26"/>
        </w:rPr>
        <w:t xml:space="preserve">Решение об одностороннем отказе от исполнения контракта Заказчиком было принято 25.03.2016 (исх. № 745). Вместе с тем, согласно данным реестра контрактов, заключенных заказчиками  </w:t>
      </w:r>
      <w:r>
        <w:rPr>
          <w:rStyle w:val="Iceouttxt1"/>
          <w:rFonts w:cs="Times New Roman"/>
          <w:b w:val="false"/>
          <w:bCs w:val="false"/>
          <w:color w:val="000000"/>
          <w:sz w:val="26"/>
          <w:szCs w:val="26"/>
        </w:rPr>
        <w:t>решение заказчика</w:t>
      </w:r>
      <w:r>
        <w:rPr>
          <w:rStyle w:val="Iceouttxt1"/>
          <w:rFonts w:cs="Times New Roman"/>
          <w:bCs/>
          <w:color w:val="000000"/>
          <w:sz w:val="26"/>
          <w:szCs w:val="26"/>
        </w:rPr>
        <w:t xml:space="preserve"> об одностороннем отказе от исполнения контракта было размещено на официальном сайте  </w:t>
      </w:r>
      <w:r>
        <w:rPr>
          <w:rStyle w:val="Iceouttxt1"/>
          <w:rFonts w:cs="Times New Roman"/>
          <w:b w:val="false"/>
          <w:bCs w:val="false"/>
          <w:color w:val="000000"/>
          <w:sz w:val="26"/>
          <w:szCs w:val="26"/>
        </w:rPr>
        <w:t>единой информационной системы в сфере закупок 11.05.2016 г., что не согласуется с требованиями части 12 статьи 95 Закона о контрактной системе.</w:t>
      </w:r>
    </w:p>
    <w:p>
      <w:pPr>
        <w:pStyle w:val="Normal"/>
        <w:numPr>
          <w:ilvl w:val="0"/>
          <w:numId w:val="0"/>
        </w:numPr>
        <w:ind w:firstLine="840"/>
        <w:jc w:val="both"/>
        <w:outlineLvl w:val="1"/>
        <w:rPr/>
      </w:pPr>
      <w:r>
        <w:rPr>
          <w:rStyle w:val="Iceouttxt1"/>
          <w:rFonts w:cs="Times New Roman"/>
          <w:bCs/>
          <w:color w:val="000000"/>
          <w:sz w:val="26"/>
          <w:szCs w:val="26"/>
        </w:rPr>
        <w:t xml:space="preserve">Учитывая сведения, представленные в материалы дела заказчиком, принимая во внимание то, что заказчиком допущено нарушение порядка расторжения контракта, комиссия контрольного органа, </w:t>
      </w:r>
      <w:r>
        <w:rPr>
          <w:sz w:val="26"/>
          <w:szCs w:val="26"/>
        </w:rPr>
        <w:t>руководствуясь статьей 104 Закона о контрактной системе, Постановлением Правительства Российской Федерации от 25.11.2013 № 1062 «О порядке ведения реестра недобросовестных поставщиков (подрядчиков, исполнителей)», Комиссия</w:t>
      </w:r>
    </w:p>
    <w:p>
      <w:pPr>
        <w:pStyle w:val="Normal"/>
        <w:ind w:firstLine="840"/>
        <w:jc w:val="center"/>
        <w:rPr>
          <w:rFonts w:ascii="Times New Roman" w:hAnsi="Times New Roman"/>
          <w:sz w:val="26"/>
          <w:szCs w:val="26"/>
        </w:rPr>
      </w:pPr>
      <w:r>
        <w:rPr>
          <w:sz w:val="26"/>
          <w:szCs w:val="26"/>
        </w:rPr>
      </w:r>
    </w:p>
    <w:p>
      <w:pPr>
        <w:pStyle w:val="Normal"/>
        <w:ind w:firstLine="840"/>
        <w:jc w:val="center"/>
        <w:rPr>
          <w:rFonts w:ascii="Times New Roman" w:hAnsi="Times New Roman"/>
          <w:sz w:val="26"/>
          <w:szCs w:val="26"/>
        </w:rPr>
      </w:pPr>
      <w:r>
        <w:rPr>
          <w:sz w:val="26"/>
          <w:szCs w:val="26"/>
        </w:rPr>
        <w:t>РЕШИЛА:</w:t>
      </w:r>
    </w:p>
    <w:p>
      <w:pPr>
        <w:pStyle w:val="Style22"/>
        <w:ind w:firstLine="840"/>
        <w:rPr>
          <w:rFonts w:ascii="Times New Roman" w:hAnsi="Times New Roman"/>
          <w:b w:val="false"/>
          <w:b w:val="false"/>
          <w:sz w:val="26"/>
          <w:szCs w:val="26"/>
        </w:rPr>
      </w:pPr>
      <w:r>
        <w:rPr>
          <w:b w:val="false"/>
          <w:sz w:val="26"/>
          <w:szCs w:val="26"/>
        </w:rPr>
      </w:r>
    </w:p>
    <w:p>
      <w:pPr>
        <w:pStyle w:val="Style22"/>
        <w:numPr>
          <w:ilvl w:val="0"/>
          <w:numId w:val="2"/>
        </w:numPr>
        <w:ind w:left="0" w:firstLine="840"/>
        <w:rPr>
          <w:rFonts w:ascii="Times New Roman" w:hAnsi="Times New Roman"/>
          <w:sz w:val="26"/>
          <w:szCs w:val="26"/>
        </w:rPr>
      </w:pPr>
      <w:r>
        <w:rPr>
          <w:b w:val="false"/>
          <w:sz w:val="26"/>
          <w:szCs w:val="26"/>
        </w:rPr>
        <w:t>1. Сведения в отношении</w:t>
      </w:r>
      <w:r>
        <w:rPr>
          <w:sz w:val="26"/>
          <w:szCs w:val="26"/>
        </w:rPr>
        <w:t xml:space="preserve"> </w:t>
      </w:r>
      <w:r>
        <w:rPr>
          <w:b w:val="false"/>
          <w:sz w:val="26"/>
          <w:szCs w:val="26"/>
        </w:rPr>
        <w:t>ООО «Строительное управление 83» в реестр недобросовестных поставщиков не включать;</w:t>
      </w:r>
    </w:p>
    <w:p>
      <w:pPr>
        <w:pStyle w:val="Normal"/>
        <w:numPr>
          <w:ilvl w:val="0"/>
          <w:numId w:val="2"/>
        </w:numPr>
        <w:tabs>
          <w:tab w:val="left" w:pos="0" w:leader="none"/>
        </w:tabs>
        <w:ind w:left="0" w:firstLine="840"/>
        <w:jc w:val="both"/>
        <w:rPr>
          <w:rFonts w:ascii="Times New Roman" w:hAnsi="Times New Roman"/>
          <w:sz w:val="26"/>
          <w:szCs w:val="26"/>
        </w:rPr>
      </w:pPr>
      <w:r>
        <w:rPr>
          <w:sz w:val="26"/>
          <w:szCs w:val="26"/>
        </w:rPr>
        <w:t>2. Признать в действиях заказчика нарушение части 12 статьи 95 Закона о контрактной системе.</w:t>
      </w:r>
    </w:p>
    <w:p>
      <w:pPr>
        <w:pStyle w:val="ConsPlusNormal"/>
        <w:numPr>
          <w:ilvl w:val="0"/>
          <w:numId w:val="0"/>
        </w:numPr>
        <w:tabs>
          <w:tab w:val="left" w:pos="0" w:leader="none"/>
        </w:tabs>
        <w:ind w:right="0" w:hanging="0"/>
        <w:jc w:val="both"/>
        <w:rPr>
          <w:rFonts w:ascii="Times New Roman" w:hAnsi="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 Передать материалы дела уполномоченному должностному лицу Ненецкого УФАС России для рассмотрения вопроса о возбуждении дела об административном правонарушении.</w:t>
      </w:r>
    </w:p>
    <w:p>
      <w:pPr>
        <w:pStyle w:val="Normal"/>
        <w:ind w:firstLine="840"/>
        <w:jc w:val="both"/>
        <w:rPr>
          <w:rFonts w:ascii="Times New Roman" w:hAnsi="Times New Roman"/>
          <w:i/>
          <w:i/>
          <w:sz w:val="26"/>
          <w:szCs w:val="26"/>
        </w:rPr>
      </w:pPr>
      <w:r>
        <w:rPr>
          <w:i/>
          <w:sz w:val="26"/>
          <w:szCs w:val="26"/>
        </w:rPr>
      </w:r>
    </w:p>
    <w:p>
      <w:pPr>
        <w:pStyle w:val="Normal"/>
        <w:ind w:firstLine="840"/>
        <w:jc w:val="both"/>
        <w:rPr>
          <w:rFonts w:ascii="Times New Roman" w:hAnsi="Times New Roman"/>
          <w:sz w:val="26"/>
          <w:szCs w:val="26"/>
        </w:rPr>
      </w:pPr>
      <w:r>
        <w:rPr>
          <w:i/>
          <w:sz w:val="26"/>
          <w:szCs w:val="26"/>
        </w:rPr>
        <w:t>Настоящее решение может быть обжаловано в судебном порядке в течение трех месяцев со дня его принятия в Арбитражный суд Архангельской области.</w:t>
      </w:r>
    </w:p>
    <w:p>
      <w:pPr>
        <w:pStyle w:val="Normal"/>
        <w:ind w:firstLine="840"/>
        <w:jc w:val="both"/>
        <w:rPr>
          <w:rFonts w:ascii="Times New Roman" w:hAnsi="Times New Roman"/>
          <w:i/>
          <w:i/>
          <w:sz w:val="26"/>
          <w:szCs w:val="26"/>
        </w:rPr>
      </w:pPr>
      <w:r>
        <w:rPr>
          <w:i/>
          <w:sz w:val="26"/>
          <w:szCs w:val="26"/>
        </w:rPr>
      </w:r>
    </w:p>
    <w:p>
      <w:pPr>
        <w:pStyle w:val="Normal"/>
        <w:tabs>
          <w:tab w:val="left" w:pos="7513" w:leader="none"/>
        </w:tabs>
        <w:jc w:val="both"/>
        <w:rPr>
          <w:rFonts w:ascii="Times New Roman" w:hAnsi="Times New Roman"/>
          <w:sz w:val="26"/>
          <w:szCs w:val="26"/>
        </w:rPr>
      </w:pPr>
      <w:r>
        <w:rPr>
          <w:sz w:val="26"/>
          <w:szCs w:val="26"/>
        </w:rPr>
      </w:r>
    </w:p>
    <w:p>
      <w:pPr>
        <w:pStyle w:val="Normal"/>
        <w:tabs>
          <w:tab w:val="left" w:pos="7513" w:leader="none"/>
        </w:tabs>
        <w:jc w:val="both"/>
        <w:rPr/>
      </w:pPr>
      <w:r>
        <w:rPr>
          <w:sz w:val="26"/>
          <w:szCs w:val="26"/>
        </w:rPr>
        <w:t xml:space="preserve">Председатель Комиссии:                                                                      </w:t>
      </w:r>
    </w:p>
    <w:p>
      <w:pPr>
        <w:pStyle w:val="Normal"/>
        <w:tabs>
          <w:tab w:val="left" w:pos="7513" w:leader="none"/>
        </w:tabs>
        <w:jc w:val="both"/>
        <w:rPr>
          <w:sz w:val="26"/>
          <w:szCs w:val="26"/>
        </w:rPr>
      </w:pPr>
      <w:r>
        <w:rPr>
          <w:sz w:val="26"/>
          <w:szCs w:val="26"/>
        </w:rPr>
        <w:t xml:space="preserve">                                                              </w:t>
      </w:r>
    </w:p>
    <w:p>
      <w:pPr>
        <w:pStyle w:val="Normal"/>
        <w:tabs>
          <w:tab w:val="left" w:pos="7513" w:leader="none"/>
        </w:tabs>
        <w:jc w:val="both"/>
        <w:rPr>
          <w:rFonts w:ascii="Times New Roman" w:hAnsi="Times New Roman"/>
          <w:sz w:val="26"/>
          <w:szCs w:val="26"/>
        </w:rPr>
      </w:pPr>
      <w:r>
        <w:rPr>
          <w:sz w:val="26"/>
          <w:szCs w:val="26"/>
        </w:rPr>
        <w:t xml:space="preserve">Члены Комиссии:                                                                                   </w:t>
      </w:r>
    </w:p>
    <w:p>
      <w:pPr>
        <w:pStyle w:val="Normal"/>
        <w:spacing w:before="240" w:after="0"/>
        <w:ind w:left="0" w:right="0" w:firstLine="540"/>
        <w:jc w:val="both"/>
        <w:rPr/>
      </w:pPr>
      <w:r>
        <w:rPr/>
      </w:r>
    </w:p>
    <w:sectPr>
      <w:headerReference w:type="default" r:id="rId11"/>
      <w:footerReference w:type="default" r:id="rId12"/>
      <w:type w:val="nextPage"/>
      <w:pgSz w:w="11906" w:h="16838"/>
      <w:pgMar w:left="1701" w:right="567" w:header="709" w:top="851" w:footer="709"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0"/>
      <w:szCs w:val="20"/>
      <w:lang w:val="ru-RU" w:eastAsia="zh-CN" w:bidi="ar-SA"/>
    </w:rPr>
  </w:style>
  <w:style w:type="paragraph" w:styleId="3">
    <w:name w:val="Heading 3"/>
    <w:basedOn w:val="Normal"/>
    <w:next w:val="Normal"/>
    <w:qFormat/>
    <w:pPr>
      <w:keepNext/>
      <w:numPr>
        <w:ilvl w:val="2"/>
        <w:numId w:val="1"/>
      </w:numPr>
      <w:jc w:val="center"/>
      <w:outlineLvl w:val="2"/>
      <w:outlineLvl w:val="2"/>
    </w:pPr>
    <w:rPr>
      <w:b/>
      <w:sz w:val="28"/>
    </w:rPr>
  </w:style>
  <w:style w:type="character" w:styleId="WW8Num1z0">
    <w:name w:val="WW8Num1z0"/>
    <w:qFormat/>
    <w:rPr>
      <w:rFonts w:ascii="Times New Roman" w:hAnsi="Times New Roman" w:eastAsia="Calibri" w:cs="Times New Roman"/>
      <w:sz w:val="26"/>
      <w:szCs w:val="2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Интернет-ссылка"/>
    <w:rPr>
      <w:rFonts w:cs="Times New Roman"/>
      <w:color w:val="0000FF"/>
      <w:u w:val="single"/>
    </w:rPr>
  </w:style>
  <w:style w:type="character" w:styleId="Spellcheckerwordhighlight">
    <w:name w:val="spellchecker-word-highlight"/>
    <w:basedOn w:val="Style13"/>
    <w:qFormat/>
    <w:rPr/>
  </w:style>
  <w:style w:type="character" w:styleId="Appleconvertedspace">
    <w:name w:val="apple-converted-space"/>
    <w:basedOn w:val="Style13"/>
    <w:qFormat/>
    <w:rPr/>
  </w:style>
  <w:style w:type="character" w:styleId="Blk">
    <w:name w:val="blk"/>
    <w:basedOn w:val="Style13"/>
    <w:qFormat/>
    <w:rPr/>
  </w:style>
  <w:style w:type="character" w:styleId="Iceouttxt1">
    <w:name w:val="iceouttxt1"/>
    <w:basedOn w:val="Style13"/>
    <w:qFormat/>
    <w:rPr>
      <w:rFonts w:ascii="Arial" w:hAnsi="Arial" w:cs="Arial"/>
      <w:color w:val="666666"/>
      <w:sz w:val="17"/>
      <w:szCs w:val="17"/>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before="0" w:after="120"/>
    </w:pPr>
    <w:rPr>
      <w:sz w:val="24"/>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Header"/>
    <w:basedOn w:val="Normal"/>
    <w:pPr>
      <w:tabs>
        <w:tab w:val="center" w:pos="4677" w:leader="none"/>
        <w:tab w:val="right" w:pos="9355" w:leader="none"/>
      </w:tabs>
    </w:pPr>
    <w:rPr/>
  </w:style>
  <w:style w:type="paragraph" w:styleId="Style21">
    <w:name w:val="Footer"/>
    <w:basedOn w:val="Normal"/>
    <w:pPr>
      <w:tabs>
        <w:tab w:val="center" w:pos="4677" w:leader="none"/>
        <w:tab w:val="right" w:pos="9355" w:leader="none"/>
      </w:tabs>
    </w:pPr>
    <w:rPr/>
  </w:style>
  <w:style w:type="paragraph" w:styleId="Style22">
    <w:name w:val="Адресат вверху"/>
    <w:basedOn w:val="Normal"/>
    <w:qFormat/>
    <w:pPr>
      <w:suppressAutoHyphens w:val="true"/>
      <w:jc w:val="both"/>
    </w:pPr>
    <w:rPr>
      <w:b/>
      <w:sz w:val="24"/>
    </w:rPr>
  </w:style>
  <w:style w:type="paragraph" w:styleId="ConsPlusNormal">
    <w:name w:val="ConsPlusNormal"/>
    <w:qFormat/>
    <w:pPr>
      <w:widowControl w:val="false"/>
      <w:overflowPunct w:val="true"/>
      <w:bidi w:val="0"/>
      <w:jc w:val="left"/>
    </w:pPr>
    <w:rPr>
      <w:rFonts w:ascii="Arial" w:hAnsi="Arial" w:eastAsia="Times New Roman" w:cs="Arial"/>
      <w:color w:val="00000A"/>
      <w:sz w:val="20"/>
      <w:szCs w:val="20"/>
      <w:lang w:val="ru-RU" w:eastAsia="zh-CN" w:bidi="ar-SA"/>
    </w:rPr>
  </w:style>
  <w:style w:type="paragraph" w:styleId="Parameter">
    <w:name w:val="parameter"/>
    <w:basedOn w:val="Normal"/>
    <w:qFormat/>
    <w:pPr>
      <w:spacing w:before="280" w:after="280"/>
    </w:pPr>
    <w:rPr>
      <w:sz w:val="24"/>
      <w:szCs w:val="24"/>
    </w:rPr>
  </w:style>
  <w:style w:type="paragraph" w:styleId="Parametervalue">
    <w:name w:val="parametervalue"/>
    <w:basedOn w:val="Normal"/>
    <w:qFormat/>
    <w:pPr>
      <w:spacing w:before="280" w:after="280"/>
    </w:pPr>
    <w:rPr>
      <w:sz w:val="24"/>
      <w:szCs w:val="24"/>
    </w:rPr>
  </w:style>
  <w:style w:type="paragraph" w:styleId="Style23">
    <w:name w:val="Обычный (веб)"/>
    <w:basedOn w:val="Normal"/>
    <w:qFormat/>
    <w:pPr>
      <w:spacing w:before="280" w:after="280"/>
    </w:pPr>
    <w:rPr>
      <w:sz w:val="24"/>
      <w:szCs w:val="24"/>
    </w:rPr>
  </w:style>
  <w:style w:type="paragraph" w:styleId="20">
    <w:name w:val="20"/>
    <w:basedOn w:val="Normal"/>
    <w:qFormat/>
    <w:pPr>
      <w:spacing w:before="280" w:after="280"/>
    </w:pPr>
    <w:rPr>
      <w:rFonts w:eastAsia="Calibri"/>
      <w:sz w:val="24"/>
      <w:szCs w:val="24"/>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ConsPlusNonformat">
    <w:name w:val="ConsPlusNonformat"/>
    <w:qFormat/>
    <w:pPr>
      <w:widowControl/>
      <w:overflowPunct w:val="true"/>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Title">
    <w:name w:val="ConsPlusTitle"/>
    <w:qFormat/>
    <w:pPr>
      <w:widowControl/>
      <w:overflowPunct w:val="true"/>
      <w:bidi w:val="0"/>
      <w:jc w:val="left"/>
    </w:pPr>
    <w:rPr>
      <w:rFonts w:ascii="Arial" w:hAnsi="Arial" w:eastAsia="Arial" w:cs="Courier New"/>
      <w:b/>
      <w:i w:val="false"/>
      <w:strike w:val="false"/>
      <w:dstrike w:val="false"/>
      <w:color w:val="00000A"/>
      <w:sz w:val="20"/>
      <w:szCs w:val="24"/>
      <w:u w:val="none"/>
      <w:lang w:val="ru-RU" w:eastAsia="zh-CN" w:bidi="hi-IN"/>
    </w:rPr>
  </w:style>
  <w:style w:type="paragraph" w:styleId="ConsPlusCell">
    <w:name w:val="ConsPlusCell"/>
    <w:qFormat/>
    <w:pPr>
      <w:widowControl/>
      <w:overflowPunct w:val="true"/>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DocList">
    <w:name w:val="ConsPlusDocList"/>
    <w:qFormat/>
    <w:pPr>
      <w:widowControl/>
      <w:overflowPunct w:val="true"/>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TitlePage">
    <w:name w:val="ConsPlusTitlePage"/>
    <w:qFormat/>
    <w:pPr>
      <w:widowControl/>
      <w:overflowPunct w:val="true"/>
      <w:bidi w:val="0"/>
      <w:jc w:val="left"/>
    </w:pPr>
    <w:rPr>
      <w:rFonts w:ascii="Tahoma" w:hAnsi="Tahoma" w:eastAsia="Arial" w:cs="Courier New"/>
      <w:b w:val="false"/>
      <w:i w:val="false"/>
      <w:strike w:val="false"/>
      <w:dstrike w:val="false"/>
      <w:color w:val="00000A"/>
      <w:sz w:val="20"/>
      <w:szCs w:val="24"/>
      <w:u w:val="none"/>
      <w:lang w:val="ru-RU" w:eastAsia="zh-CN" w:bidi="hi-IN"/>
    </w:rPr>
  </w:style>
  <w:style w:type="paragraph" w:styleId="ConsPlusJurTerm">
    <w:name w:val="ConsPlusJurTerm"/>
    <w:qFormat/>
    <w:pPr>
      <w:widowControl/>
      <w:overflowPunct w:val="true"/>
      <w:bidi w:val="0"/>
      <w:jc w:val="left"/>
    </w:pPr>
    <w:rPr>
      <w:rFonts w:ascii="Tahoma" w:hAnsi="Tahoma" w:eastAsia="Arial" w:cs="Courier New"/>
      <w:b w:val="false"/>
      <w:i w:val="false"/>
      <w:strike w:val="false"/>
      <w:dstrike w:val="false"/>
      <w:color w:val="00000A"/>
      <w:sz w:val="26"/>
      <w:szCs w:val="24"/>
      <w:u w:val="none"/>
      <w:lang w:val="ru-RU"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zakupki.gov.ru/" TargetMode="External"/><Relationship Id="rId4" Type="http://schemas.openxmlformats.org/officeDocument/2006/relationships/hyperlink" Target="consultantplus://offline/ref=0FFB4B931D6A31378AB11DC35835BDF4D71C60D3BA5F923562488B4582BCF2AB91ED09E1294F07D9z6jEL" TargetMode="External"/><Relationship Id="rId5" Type="http://schemas.openxmlformats.org/officeDocument/2006/relationships/hyperlink" Target="consultantplus://offline/ref=0FFB4B931D6A31378AB11DC35835BDF4D71C60D3BA5F923562488B4582BCF2AB91ED09E1294F07D9z6jEL" TargetMode="External"/><Relationship Id="rId6" Type="http://schemas.openxmlformats.org/officeDocument/2006/relationships/hyperlink" Target="consultantplus://offline/ref=91F4DF7E5A78D6B112A9FEE760F0DC5DC51B4E69C4967D837E1F8AC0EE573EC2FEF999E040FFC8225ApBL" TargetMode="External"/><Relationship Id="rId7" Type="http://schemas.openxmlformats.org/officeDocument/2006/relationships/hyperlink" Target="consultantplus://offline/ref=F847F412A8FF84FED901A85F3A9CFC51A554B6CFA8F2F385757D19769A920E520471CFF76B15B2B3qAwEL" TargetMode="External"/><Relationship Id="rId8" Type="http://schemas.openxmlformats.org/officeDocument/2006/relationships/hyperlink" Target="consultantplus://offline/ref=F847F412A8FF84FED901A85F3A9CFC51A554B6CAAAF0F385757D19769A920E520471CFF76B14B7B3qAwE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LibreOffice/5.1.2.2$Windows_X86_64 LibreOffice_project/d3bf12ecb743fc0d20e0be0c58ca359301eb705f</Application>
  <Pages>5</Pages>
  <Words>1487</Words>
  <Characters>10603</Characters>
  <CharactersWithSpaces>12395</CharactersWithSpaces>
  <Paragraphs>49</Paragraphs>
  <Company>КонсультантПлюс Версия 4015.00.08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2016-05-16T14:47:00Z</dcterms:created>
  <dc:creator>USER</dc:creator>
  <dc:description/>
  <dc:language>ru-RU</dc:language>
  <cp:lastModifiedBy/>
  <cp:lastPrinted>2016-05-16T11:40:00Z</cp:lastPrinted>
  <dcterms:modified xsi:type="dcterms:W3CDTF">2016-06-02T14:02:39Z</dcterms:modified>
  <cp:revision>11</cp:revision>
  <dc:subject/>
  <dc:title>Постановление Правительства РФ от 25.11.2013 N 1062(ред. от 25.12.2014)"О порядке ведения реестра недобросовестных поставщиков (подрядчиков, исполнителей)"(вместе с "Правилами ведения реестра недобросовестных поставщиков (подрядчиков, исполнителей)"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4015.00.08</vt:lpwstr>
  </property>
</Properties>
</file>