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fill="auto" w:val="clear"/>
          </w:tcPr>
          <w:p>
            <w:pPr>
              <w:pStyle w:val="Style16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1"/>
              </w:numPr>
              <w:rPr>
                <w:color w:val="0066CC"/>
                <w:sz w:val="2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Normal"/>
              <w:jc w:val="center"/>
              <w:rPr>
                <w:color w:val="0066CC"/>
                <w:sz w:val="22"/>
              </w:rPr>
            </w:pPr>
            <w:r>
              <w:rPr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 результатам внеплановой проверки соблюдения</w:t>
            </w:r>
          </w:p>
          <w:p>
            <w:pPr>
              <w:pStyle w:val="Normal"/>
              <w:jc w:val="center"/>
              <w:rPr>
                <w:bCs/>
                <w:color w:val="0066CC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законодательства о контрактной системе</w:t>
            </w:r>
          </w:p>
          <w:p>
            <w:pPr>
              <w:pStyle w:val="Normal"/>
              <w:jc w:val="center"/>
              <w:rPr>
                <w:bCs/>
                <w:color w:val="0066CC"/>
                <w:sz w:val="26"/>
                <w:szCs w:val="26"/>
              </w:rPr>
            </w:pPr>
            <w:r>
              <w:rPr>
                <w:bCs/>
                <w:color w:val="0066CC"/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bCs/>
                <w:color w:val="0066CC"/>
                <w:sz w:val="22"/>
                <w:szCs w:val="26"/>
              </w:rPr>
            </w:pPr>
            <w:r>
              <w:rPr>
                <w:bCs/>
                <w:color w:val="0066CC"/>
                <w:sz w:val="22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20.05.2016 г.</w:t>
            </w:r>
            <w:r>
              <w:rPr>
                <w:sz w:val="22"/>
              </w:rPr>
              <w:t xml:space="preserve">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№ 01-48/02-2016</w:t>
            </w:r>
          </w:p>
        </w:tc>
      </w:tr>
    </w:tbl>
    <w:p>
      <w:pPr>
        <w:pStyle w:val="Normal"/>
        <w:rPr>
          <w:sz w:val="16"/>
          <w:lang w:val="ru-RU" w:eastAsia="ru-RU"/>
        </w:rPr>
      </w:pPr>
      <w:r>
        <w:rPr>
          <w:sz w:val="16"/>
          <w:lang w:val="ru-RU" w:eastAsia="ru-RU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-2540</wp:posOffset>
            </wp:positionV>
            <wp:extent cx="684530" cy="676910"/>
            <wp:effectExtent l="0" t="0" r="0" b="0"/>
            <wp:wrapTight wrapText="bothSides">
              <wp:wrapPolygon edited="0">
                <wp:start x="-234" y="0"/>
                <wp:lineTo x="-234" y="21339"/>
                <wp:lineTo x="21600" y="21339"/>
                <wp:lineTo x="21600" y="0"/>
                <wp:lineTo x="-234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16"/>
          <w:lang w:val="ru-RU" w:eastAsia="ru-RU"/>
        </w:rPr>
      </w:pPr>
      <w:r>
        <w:rPr>
          <w:sz w:val="16"/>
          <w:lang w:val="ru-RU" w:eastAsia="ru-RU"/>
        </w:rPr>
      </w:r>
    </w:p>
    <w:p>
      <w:pPr>
        <w:pStyle w:val="Normal"/>
        <w:rPr>
          <w:sz w:val="16"/>
          <w:lang w:val="ru-RU" w:eastAsia="ru-RU"/>
        </w:rPr>
      </w:pPr>
      <w:r>
        <w:rPr>
          <w:sz w:val="16"/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6"/>
          <w:szCs w:val="26"/>
        </w:rPr>
      </w:pPr>
      <w:r>
        <w:rPr/>
        <w:tab/>
      </w:r>
      <w:r>
        <w:rPr>
          <w:bCs/>
          <w:sz w:val="26"/>
          <w:szCs w:val="26"/>
        </w:rPr>
        <w:t>г. Нарьян-Мар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2"/>
        <w:ind w:left="0" w:right="0" w:firstLine="54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Сведения о внеплановой проверке:</w:t>
      </w:r>
    </w:p>
    <w:p>
      <w:pPr>
        <w:pStyle w:val="ConsPlusNormal"/>
        <w:ind w:left="0" w:right="0" w:firstLine="540"/>
        <w:jc w:val="both"/>
        <w:rPr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Проведена в соответствии с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hyperlink r:id="rId3">
        <w:r>
          <w:rPr>
            <w:rStyle w:val="Style14"/>
            <w:rFonts w:cs="Times New Roman" w:ascii="Times New Roman" w:hAnsi="Times New Roman"/>
            <w:color w:val="0000FF"/>
            <w:sz w:val="26"/>
            <w:szCs w:val="26"/>
          </w:rPr>
          <w:t>пунктом 2 части 15 статьи 99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</w:t>
      </w:r>
      <w:r>
        <w:rPr>
          <w:rFonts w:cs="Times New Roman" w:ascii="Times New Roman" w:hAnsi="Times New Roman"/>
          <w:b/>
          <w:sz w:val="26"/>
          <w:szCs w:val="26"/>
        </w:rPr>
        <w:t>;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Срок проведения: с 17 марта 2016 года по 20 мая 2016 года;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Основание – информация поступившая от СРО НП «Альянс специализированных предприятий безопасности» (далее по тексту – заявитель) на действия заказчика – </w:t>
      </w:r>
      <w:r>
        <w:rPr>
          <w:b w:val="false"/>
          <w:bCs/>
          <w:color w:val="000000"/>
          <w:sz w:val="26"/>
          <w:szCs w:val="26"/>
        </w:rPr>
        <w:t>Муниципальное казенное учреждение «Управление городского хозяйства г. Нарьян-Мара»</w:t>
      </w:r>
      <w:r>
        <w:rPr>
          <w:b w:val="false"/>
          <w:bCs/>
          <w:sz w:val="26"/>
          <w:szCs w:val="26"/>
        </w:rPr>
        <w:t xml:space="preserve"> (далее по тексту – МКУ «УГХ г. Нарьян-Мара»)</w:t>
      </w:r>
      <w:r>
        <w:rPr>
          <w:b w:val="false"/>
          <w:sz w:val="26"/>
          <w:szCs w:val="26"/>
        </w:rPr>
        <w:t>, закупка № 0184300002516000015.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Сведения о закупке № 0184300002516000015, на которую поступило обращение: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tbl>
      <w:tblPr>
        <w:tblW w:w="9390" w:type="dxa"/>
        <w:jc w:val="lef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4130"/>
        <w:gridCol w:w="5260"/>
      </w:tblGrid>
      <w:tr>
        <w:trPr/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закупки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  <w:t>На оказание услуг по охране объектов: административного здания № 12 по ул. Ленина, административного помещения в здании № 16 по ул. Ленина и административного здания №14Б по ул.Рабочая в г. Нарьян-Маре в 2016 году</w:t>
            </w:r>
          </w:p>
        </w:tc>
      </w:tr>
      <w:tr>
        <w:trPr/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Электронный аукцион</w:t>
            </w:r>
          </w:p>
        </w:tc>
      </w:tr>
      <w:tr>
        <w:trPr/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и адрес его местонахождения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Style22"/>
              <w:jc w:val="left"/>
              <w:rPr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b w:val="false"/>
                <w:color w:val="000000"/>
                <w:sz w:val="26"/>
                <w:szCs w:val="26"/>
              </w:rPr>
              <w:t xml:space="preserve">Муниципальное казенное учреждение «Управление городского хозяйства г. Нарьян-Мара», </w:t>
            </w:r>
          </w:p>
          <w:p>
            <w:pPr>
              <w:pStyle w:val="Normal"/>
              <w:jc w:val="left"/>
              <w:rPr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b w:val="false"/>
                <w:color w:val="000000"/>
                <w:sz w:val="26"/>
                <w:szCs w:val="26"/>
              </w:rPr>
              <w:t>166000, Ненецкий АО, г. Нарьян-Мар, ул. Рабочая, д. 14 Б.</w:t>
            </w:r>
          </w:p>
        </w:tc>
      </w:tr>
      <w:tr>
        <w:trPr/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орган и адрес его местонахождения</w:t>
            </w:r>
          </w:p>
        </w:tc>
        <w:tc>
          <w:tcPr>
            <w:tcW w:w="5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b w:val="false"/>
                <w:color w:val="000000"/>
                <w:sz w:val="26"/>
                <w:szCs w:val="26"/>
              </w:rPr>
              <w:t>УС ЖКХ и ГД Администрации МО "Городской округ "Город Нарьян-Мар",</w:t>
            </w:r>
          </w:p>
          <w:p>
            <w:pPr>
              <w:pStyle w:val="Normal"/>
              <w:overflowPunct w:val="true"/>
              <w:jc w:val="both"/>
              <w:textAlignment w:val="baseline"/>
              <w:rPr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b w:val="false"/>
                <w:color w:val="000000"/>
                <w:sz w:val="26"/>
                <w:szCs w:val="26"/>
              </w:rPr>
              <w:t>66000,  Ненецкий автономный округ, г. Нарьян-Мар, ул. Ленина, дом 12</w:t>
            </w:r>
          </w:p>
        </w:tc>
      </w:tr>
      <w:tr>
        <w:trPr/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Parameter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(максимальная) цена контракта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280" w:after="0"/>
              <w:ind w:left="0" w:right="0" w:firstLine="540"/>
              <w:jc w:val="both"/>
              <w:rPr>
                <w:b w:val="false"/>
                <w:b w:val="false"/>
                <w:bCs w:val="false"/>
                <w:sz w:val="26"/>
                <w:szCs w:val="26"/>
                <w:lang w:eastAsia="zh-CN"/>
              </w:rPr>
            </w:pPr>
            <w:r>
              <w:rPr>
                <w:b w:val="false"/>
                <w:bCs w:val="false"/>
                <w:sz w:val="26"/>
                <w:szCs w:val="26"/>
                <w:lang w:eastAsia="zh-CN"/>
              </w:rPr>
              <w:t>1 909 765,20 (Один миллион девятьсот девять тысяч семьсот шестьдесят пять) рублей 20 копеек.</w:t>
            </w:r>
          </w:p>
        </w:tc>
      </w:tr>
      <w:tr>
        <w:trPr/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Parameter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окончания подачи заявок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280" w:after="0"/>
              <w:ind w:left="0" w:right="0" w:firstLine="5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 марта 2016 г. 08 ч. 30 мин.</w:t>
            </w:r>
          </w:p>
        </w:tc>
      </w:tr>
      <w:tr>
        <w:trPr/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для публикации сведений о закупке в информационно-телекоммуникационной сети «Интернет»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spacing w:before="0" w:after="0"/>
              <w:ind w:left="0" w:right="0" w:firstLine="540"/>
              <w:rPr/>
            </w:pPr>
            <w:hyperlink r:id="rId4">
              <w:r>
                <w:rPr>
                  <w:rStyle w:val="Style14"/>
                  <w:sz w:val="26"/>
                  <w:szCs w:val="26"/>
                  <w:lang w:val="en-US"/>
                </w:rPr>
                <w:t>www</w:t>
              </w:r>
              <w:r>
                <w:rPr>
                  <w:rStyle w:val="Style14"/>
                  <w:sz w:val="26"/>
                  <w:szCs w:val="26"/>
                </w:rPr>
                <w:t>.</w:t>
              </w:r>
              <w:r>
                <w:rPr>
                  <w:rStyle w:val="Style14"/>
                  <w:sz w:val="26"/>
                  <w:szCs w:val="26"/>
                  <w:lang w:val="en-US"/>
                </w:rPr>
                <w:t>zakupki</w:t>
              </w:r>
              <w:r>
                <w:rPr>
                  <w:rStyle w:val="Style14"/>
                  <w:sz w:val="26"/>
                  <w:szCs w:val="26"/>
                </w:rPr>
                <w:t>.</w:t>
              </w:r>
              <w:r>
                <w:rPr>
                  <w:rStyle w:val="Style14"/>
                  <w:sz w:val="26"/>
                  <w:szCs w:val="26"/>
                  <w:lang w:val="en-US"/>
                </w:rPr>
                <w:t>gov</w:t>
              </w:r>
              <w:r>
                <w:rPr>
                  <w:rStyle w:val="Style14"/>
                  <w:sz w:val="26"/>
                  <w:szCs w:val="26"/>
                </w:rPr>
                <w:t>.</w:t>
              </w:r>
              <w:r>
                <w:rPr>
                  <w:rStyle w:val="Style14"/>
                  <w:sz w:val="26"/>
                  <w:szCs w:val="26"/>
                  <w:lang w:val="en-US"/>
                </w:rPr>
                <w:t>ru</w:t>
              </w:r>
            </w:hyperlink>
          </w:p>
        </w:tc>
      </w:tr>
    </w:tbl>
    <w:p>
      <w:pPr>
        <w:pStyle w:val="Style22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Дата рассмотрения материалов проверки – 20 мая 2016 года.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Рассмотрение проведено Комиссией Управления Федеральной антимонопольной службы по Ненецкому автономному округу (далее по тексту – Комиссия) в составе: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Председатель Комиссии: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Члены Комиссии: 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В отсутствии представителей Заказчика, в присутствии представителя Заявителя.</w:t>
      </w:r>
    </w:p>
    <w:p>
      <w:pPr>
        <w:pStyle w:val="Style22"/>
        <w:ind w:left="0" w:right="0" w:firstLine="540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При проведении проверки и рассмотрении материалов дела № 01-48/02-2016 </w:t>
      </w:r>
    </w:p>
    <w:p>
      <w:pPr>
        <w:pStyle w:val="Style22"/>
        <w:ind w:left="0" w:right="0" w:firstLine="540"/>
        <w:rPr>
          <w:b/>
          <w:b/>
          <w:sz w:val="26"/>
          <w:szCs w:val="26"/>
        </w:rPr>
      </w:pPr>
      <w:r>
        <w:rPr>
          <w:b w:val="false"/>
          <w:sz w:val="26"/>
          <w:szCs w:val="26"/>
        </w:rPr>
        <w:t>Комиссия</w:t>
      </w:r>
    </w:p>
    <w:p>
      <w:pPr>
        <w:pStyle w:val="Normal"/>
        <w:ind w:left="0" w:right="-50"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-5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УСТАНОВИЛА:</w:t>
      </w:r>
    </w:p>
    <w:p>
      <w:pPr>
        <w:pStyle w:val="Normal"/>
        <w:spacing w:before="240" w:after="0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15.03.2016 в Управление Федеральной антимонопольной службы по Ненецкому автономному округу (далее по тексту - Ненецкое УФАС России) поступила информация (вх. № 695) от Заявителя.</w:t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Доводы приведенные в обращении: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мнению заявителя, в аукционной документации заказчика, не правомерно установлены требования:</w:t>
      </w:r>
    </w:p>
    <w:p>
      <w:pPr>
        <w:pStyle w:val="ConsPlusNormal"/>
        <w:ind w:left="0" w:right="0" w:firstLine="540"/>
        <w:jc w:val="both"/>
        <w:rPr>
          <w:color w:val="020202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Наличие действующих лицензий, </w:t>
      </w:r>
      <w:r>
        <w:rPr>
          <w:rFonts w:cs="Times New Roman" w:ascii="Times New Roman" w:hAnsi="Times New Roman"/>
          <w:color w:val="020202"/>
          <w:sz w:val="26"/>
          <w:szCs w:val="26"/>
        </w:rPr>
        <w:t xml:space="preserve">полученных в соответствии с требованиями </w:t>
      </w:r>
      <w:r>
        <w:rPr>
          <w:rFonts w:cs="Times New Roman" w:ascii="Times New Roman" w:hAnsi="Times New Roman"/>
          <w:sz w:val="26"/>
          <w:szCs w:val="26"/>
        </w:rPr>
        <w:t>Федерального закона от 04.05.2011 № 99-ФЗ «О лицензировании отдельных видов деятельности» на соответствующие виды деятельности, в том числе:</w:t>
      </w:r>
    </w:p>
    <w:p>
      <w:pPr>
        <w:pStyle w:val="Normal"/>
        <w:ind w:left="0" w:right="0"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20202"/>
          <w:sz w:val="26"/>
          <w:szCs w:val="26"/>
        </w:rPr>
        <w:t xml:space="preserve">1. наличие лицензии, полученной в соответствии с постановлением </w:t>
      </w:r>
      <w:hyperlink r:id="rId5">
        <w:r>
          <w:rPr>
            <w:rStyle w:val="Style14"/>
            <w:sz w:val="26"/>
            <w:szCs w:val="26"/>
          </w:rPr>
          <w:t>П</w:t>
        </w:r>
      </w:hyperlink>
      <w:r>
        <w:rPr>
          <w:sz w:val="26"/>
          <w:szCs w:val="26"/>
        </w:rPr>
        <w:t>равительства Российской Федерации от 30 декабря 2011 г. № 1225 «О лицензировании деятельности по монтажу, техническому обслуживанию и ремонту средств обеспечения пожарной безопасности зданий и сооружений» Обязательно наличие в лицензии следующих видов работ:</w:t>
      </w:r>
    </w:p>
    <w:p>
      <w:pPr>
        <w:pStyle w:val="ConsPlusNormal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пункт 2 -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пункт 5 -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Наличие у каждого работника медицинской книжки установленного образца в соответствии с Приложением № 1 к Приказу Роспотребнадзора от 20.05.2005 г. № 402 «О личной медицинской книжке и санитарном паспорте» в действующей редакции.</w:t>
      </w:r>
    </w:p>
    <w:p>
      <w:pPr>
        <w:pStyle w:val="ConsPlusNormal"/>
        <w:ind w:left="0" w:right="0"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Наличие у Исполнителя оперативной дежурной службы (оперативного дежурного) с круглосуточным режимом работы, имеющего постоянную радиосвязь и/или мобильную связь с объектом охраны. Наличие у работников Исполнителя на объекте охраны служебной радиосвязи и/или мобильной связи с оперативной дежурной службой (оперативным дежурным) Исполнителя и соответствующей дежурной частью УМВД России по Ненецкому автономному округу.</w:t>
      </w:r>
    </w:p>
    <w:p>
      <w:pPr>
        <w:pStyle w:val="ConsPlus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Заказчиком представлены объяснения по существу жалобы (вх. № 1349), уполномоченным органом объяснения не представлены в связи с отпуском сотрудника (вх. № 1311). Заказчик с доводами жалобы не согласился. Согласно статьи 3 Закона о частной детективной и охранной деятельности, наличие в лицензии следующих видов услуг обязательно: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2)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</w:t>
      </w:r>
      <w:r>
        <w:rPr>
          <w:rFonts w:cs="Times New Roman" w:ascii="Times New Roman" w:hAnsi="Times New Roman"/>
          <w:color w:val="0000FF"/>
          <w:sz w:val="26"/>
          <w:szCs w:val="26"/>
        </w:rPr>
        <w:t>пунктом 7</w:t>
      </w:r>
      <w:r>
        <w:rPr>
          <w:rFonts w:cs="Times New Roman" w:ascii="Times New Roman" w:hAnsi="Times New Roman"/>
          <w:sz w:val="26"/>
          <w:szCs w:val="26"/>
        </w:rPr>
        <w:t xml:space="preserve"> настоящей части;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</w:t>
      </w:r>
      <w:r>
        <w:rPr>
          <w:rFonts w:cs="Times New Roman" w:ascii="Times New Roman" w:hAnsi="Times New Roman"/>
          <w:color w:val="0000FF"/>
          <w:sz w:val="26"/>
          <w:szCs w:val="26"/>
        </w:rPr>
        <w:t>перечень</w:t>
      </w:r>
      <w:r>
        <w:rPr>
          <w:rFonts w:cs="Times New Roman" w:ascii="Times New Roman" w:hAnsi="Times New Roman"/>
          <w:sz w:val="26"/>
          <w:szCs w:val="26"/>
        </w:rPr>
        <w:t xml:space="preserve"> видов которых устанавливается Правительством Российской Федерации, и (или) с принятием соответствующих мер реагирования на их сигнальную информацию;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7)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r>
        <w:rPr>
          <w:rFonts w:cs="Times New Roman" w:ascii="Times New Roman" w:hAnsi="Times New Roman"/>
          <w:color w:val="0000FF"/>
          <w:sz w:val="26"/>
          <w:szCs w:val="26"/>
        </w:rPr>
        <w:t>частью третьей статьи 11</w:t>
      </w:r>
      <w:r>
        <w:rPr>
          <w:rFonts w:cs="Times New Roman" w:ascii="Times New Roman" w:hAnsi="Times New Roman"/>
          <w:sz w:val="26"/>
          <w:szCs w:val="26"/>
        </w:rPr>
        <w:t xml:space="preserve"> настоящего Закона.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Данные требования установлены в связи стем, что охрана административного здания № 12 по ул. Ленина в г. Нарьян-Маре осуществляется путем физической охраны с одновременным использованием технических средств, в том числе охранно-пожарной сигнализации, кнопки тревожной сигнализации, системы контроля и управления доступом, системы видеонаблюдения.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Пунктом 1.2.2 раздела Технического задания установлено, что сотрудник исполнителя должен иметь медицинскую книжку установленного образца. Данное условие оказания услуг определено в связи стем, что охраняемый объект является административным зданием, то есть общественным местом, где осуществляют свои трудовые функции сотрудники Администрации МО «Городской округ «Город Нарьян-Мар», в том числе ведут в установленное время неограниченный прием посетителей.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Пунктами 2.1 и 2.2  раздела Технического задания определено, что исполнителем по контракту должно обеспечиваться  наличие оперативной дежурной службы (оперативного дежурного) с круглосуточным режимом работы, имеющего постоянную радиосвязь и/или мобильную связь с объектом охраны, а так же наличие у работников Исполнителя на объекте охраны служебной радиосвязи и/или мобильной связи с оперативной дежурной службой (оперативным дежурным) Исполнителя и соответствующей дежурной частью УМВД России по Ненецкому автономному округу. Данное качественное описание услуги определено для полного, качественного и своевременного исполнения обязательств (в частности: вызов на объект группы быстрого реагирования исполнителя при возникновении ЧС, сообщение в дежурную часть УМВД России по НАО о нарушении правопорядка на прилегающей к охраняемому объекту территории и т.</w:t>
      </w:r>
      <w:r>
        <w:rPr>
          <w:rFonts w:cs="Times New Roman" w:ascii="Times New Roman" w:hAnsi="Times New Roman"/>
          <w:sz w:val="26"/>
          <w:szCs w:val="26"/>
          <w:highlight w:val="white"/>
        </w:rPr>
        <w:t> </w:t>
      </w:r>
      <w:r>
        <w:rPr>
          <w:rFonts w:cs="Times New Roman" w:ascii="Times New Roman" w:hAnsi="Times New Roman"/>
          <w:sz w:val="26"/>
          <w:szCs w:val="26"/>
        </w:rPr>
        <w:t>п.)</w:t>
      </w:r>
    </w:p>
    <w:p>
      <w:pPr>
        <w:pStyle w:val="ConsPlusNormal"/>
        <w:ind w:left="0" w:right="0" w:firstLine="54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Согласно пункту 1 части 1 статьи 33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hyperlink r:id="rId6">
        <w:r>
          <w:rPr>
            <w:rStyle w:val="Style14"/>
            <w:rFonts w:cs="Times New Roman" w:ascii="Times New Roman" w:hAnsi="Times New Roman"/>
            <w:color w:val="0000FF"/>
            <w:sz w:val="26"/>
            <w:szCs w:val="26"/>
          </w:rPr>
          <w:t>пунктами 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r:id="rId7">
        <w:r>
          <w:rPr>
            <w:rStyle w:val="Style14"/>
            <w:rFonts w:cs="Times New Roman" w:ascii="Times New Roman" w:hAnsi="Times New Roman"/>
            <w:color w:val="0000FF"/>
            <w:sz w:val="26"/>
            <w:szCs w:val="26"/>
          </w:rPr>
          <w:t>2 части 1 статьи 64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контрактной системе документация об электронном аукционе должна содержать наименование и описание объекта закупки и условия контракта в соответствии со </w:t>
      </w:r>
      <w:hyperlink r:id="rId8">
        <w:r>
          <w:rPr>
            <w:rStyle w:val="Style14"/>
            <w:rFonts w:cs="Times New Roman" w:ascii="Times New Roman" w:hAnsi="Times New Roman"/>
            <w:color w:val="0000FF"/>
            <w:sz w:val="26"/>
            <w:szCs w:val="26"/>
          </w:rPr>
          <w:t>статьей 33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контрактной системе, а также требования к содержанию, составу заявки на участие в таком аукционе в соответствии с </w:t>
      </w:r>
      <w:hyperlink r:id="rId9">
        <w:r>
          <w:rPr>
            <w:rStyle w:val="Style14"/>
            <w:rFonts w:cs="Times New Roman" w:ascii="Times New Roman" w:hAnsi="Times New Roman"/>
            <w:color w:val="0000FF"/>
            <w:sz w:val="26"/>
            <w:szCs w:val="26"/>
          </w:rPr>
          <w:t>частями 3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- </w:t>
      </w:r>
      <w:hyperlink r:id="rId10">
        <w:r>
          <w:rPr>
            <w:rStyle w:val="Style14"/>
            <w:rFonts w:cs="Times New Roman" w:ascii="Times New Roman" w:hAnsi="Times New Roman"/>
            <w:color w:val="0000FF"/>
            <w:sz w:val="26"/>
            <w:szCs w:val="26"/>
          </w:rPr>
          <w:t>6 статьи 66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Закона о контрактной системе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Руководствуясь </w:t>
      </w:r>
      <w:r>
        <w:rPr>
          <w:rFonts w:cs="Times New Roman" w:ascii="Times New Roman" w:hAnsi="Times New Roman"/>
          <w:color w:val="0000FF"/>
          <w:sz w:val="26"/>
          <w:szCs w:val="26"/>
        </w:rPr>
        <w:t>пунктом 2 части 5 статьи 66</w:t>
      </w:r>
      <w:r>
        <w:rPr>
          <w:rFonts w:cs="Times New Roman" w:ascii="Times New Roman" w:hAnsi="Times New Roman"/>
          <w:sz w:val="26"/>
          <w:szCs w:val="26"/>
        </w:rPr>
        <w:t xml:space="preserve"> Закона о контрактной системе, вторая часть заявки на участие в электронном аукционе должна содержать документы, подтверждающие соответствие участника такого аукциона требованиям, установленным </w:t>
      </w:r>
      <w:r>
        <w:rPr>
          <w:rFonts w:cs="Times New Roman" w:ascii="Times New Roman" w:hAnsi="Times New Roman"/>
          <w:color w:val="0000FF"/>
          <w:sz w:val="26"/>
          <w:szCs w:val="26"/>
        </w:rPr>
        <w:t>пунктом 1 части 1</w:t>
      </w:r>
      <w:r>
        <w:rPr>
          <w:rFonts w:cs="Times New Roman" w:ascii="Times New Roman" w:hAnsi="Times New Roman"/>
          <w:sz w:val="26"/>
          <w:szCs w:val="26"/>
        </w:rPr>
        <w:t xml:space="preserve"> и </w:t>
      </w:r>
      <w:r>
        <w:rPr>
          <w:rFonts w:cs="Times New Roman" w:ascii="Times New Roman" w:hAnsi="Times New Roman"/>
          <w:color w:val="0000FF"/>
          <w:sz w:val="26"/>
          <w:szCs w:val="26"/>
        </w:rPr>
        <w:t>частью 2 статьи 31</w:t>
      </w:r>
      <w:r>
        <w:rPr>
          <w:rFonts w:cs="Times New Roman" w:ascii="Times New Roman" w:hAnsi="Times New Roman"/>
          <w:sz w:val="26"/>
          <w:szCs w:val="26"/>
        </w:rPr>
        <w:t xml:space="preserve"> (при наличии таких требований) настоящего Федерального закона, или копии этих документов, а также декларация о соответствии участника такого аукциона требованиям, установленным </w:t>
      </w:r>
      <w:r>
        <w:rPr>
          <w:rFonts w:cs="Times New Roman" w:ascii="Times New Roman" w:hAnsi="Times New Roman"/>
          <w:color w:val="0000FF"/>
          <w:sz w:val="26"/>
          <w:szCs w:val="26"/>
        </w:rPr>
        <w:t>пунктами 3</w:t>
      </w:r>
      <w:r>
        <w:rPr>
          <w:rFonts w:cs="Times New Roman" w:ascii="Times New Roman" w:hAnsi="Times New Roman"/>
          <w:sz w:val="26"/>
          <w:szCs w:val="26"/>
        </w:rPr>
        <w:t xml:space="preserve"> - </w:t>
      </w:r>
      <w:r>
        <w:rPr>
          <w:rFonts w:cs="Times New Roman" w:ascii="Times New Roman" w:hAnsi="Times New Roman"/>
          <w:color w:val="0000FF"/>
          <w:sz w:val="26"/>
          <w:szCs w:val="26"/>
        </w:rPr>
        <w:t>9 части 1 статьи 31</w:t>
      </w:r>
      <w:r>
        <w:rPr>
          <w:rFonts w:cs="Times New Roman" w:ascii="Times New Roman" w:hAnsi="Times New Roman"/>
          <w:sz w:val="26"/>
          <w:szCs w:val="26"/>
        </w:rPr>
        <w:t xml:space="preserve"> настоящего Федерального закона.</w:t>
      </w:r>
    </w:p>
    <w:p>
      <w:pPr>
        <w:pStyle w:val="ConsPlusNormal"/>
        <w:ind w:left="0" w:right="0" w:firstLine="54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При этом, руководствуясь </w:t>
      </w:r>
      <w:r>
        <w:rPr>
          <w:rFonts w:cs="Times New Roman" w:ascii="Times New Roman" w:hAnsi="Times New Roman"/>
          <w:color w:val="0000FF"/>
          <w:sz w:val="26"/>
          <w:szCs w:val="26"/>
        </w:rPr>
        <w:t>статьей 12</w:t>
      </w:r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04.05.2011 N 99-ФЗ "О лицензировании отдельных видов деятельности" (далее - Закон о лицензировании) охранная деятельность, монтаж, техническое обслуживание и ремонт средств обеспечения пожарной безопасности зданий и сооружений (согласно Закона РФ от 11.03.1992 № 2487-1 «О частной детективной и охранной деятельности в Российской Федерации», постановления Правительства РФ от 23.06.2011 № 498 «О некоторых вопросах осуществления частной детективной (сыскной) и частной охранной деятельности», а так же </w:t>
      </w:r>
      <w:r>
        <w:rPr>
          <w:rFonts w:cs="Times New Roman" w:ascii="Times New Roman" w:hAnsi="Times New Roman"/>
          <w:color w:val="0000FF"/>
          <w:sz w:val="26"/>
          <w:szCs w:val="26"/>
        </w:rPr>
        <w:t>перечня</w:t>
      </w:r>
      <w:r>
        <w:rPr>
          <w:rFonts w:cs="Times New Roman" w:ascii="Times New Roman" w:hAnsi="Times New Roman"/>
          <w:sz w:val="26"/>
          <w:szCs w:val="26"/>
        </w:rPr>
        <w:t xml:space="preserve"> работ и услуг, утвержденного постановлением Правительства Российской Федерации от 30 декабря 2011 г. N 1225 "О лицензировании деятельности по монтажу, техническому обслуживанию и ремонту средств обеспечения пожарной безопасности зданий и сооружений") подлежат лицензированию.</w:t>
      </w:r>
    </w:p>
    <w:p>
      <w:pPr>
        <w:pStyle w:val="Normal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lang w:eastAsia="ru-RU"/>
        </w:rPr>
        <w:tab/>
        <w:t xml:space="preserve">Таким образом, комиссия приходит к выводу, что требование о наличие </w:t>
      </w:r>
      <w:r>
        <w:rPr>
          <w:rFonts w:eastAsia="Calibri" w:cs="Times New Roman"/>
          <w:sz w:val="26"/>
          <w:szCs w:val="26"/>
        </w:rPr>
        <w:t>действующих лицензии</w:t>
      </w:r>
      <w:r>
        <w:rPr>
          <w:rFonts w:cs="Times New Roman"/>
          <w:sz w:val="26"/>
          <w:szCs w:val="26"/>
        </w:rPr>
        <w:t xml:space="preserve"> на осуществление охранной деятельности, т</w:t>
      </w:r>
      <w:r>
        <w:rPr>
          <w:rFonts w:cs="Times New Roman" w:ascii="Times New Roman" w:hAnsi="Times New Roman"/>
          <w:sz w:val="26"/>
          <w:szCs w:val="26"/>
        </w:rPr>
        <w:t xml:space="preserve">ехническое обслуживание и ремонт средств обеспечения пожарной безопасности зданий и сооружений </w:t>
      </w:r>
      <w:r>
        <w:rPr>
          <w:rFonts w:cs="Times New Roman"/>
          <w:sz w:val="26"/>
          <w:szCs w:val="26"/>
        </w:rPr>
        <w:t>установлено в соответствии с действующим законодательством.</w:t>
      </w:r>
    </w:p>
    <w:p>
      <w:pPr>
        <w:pStyle w:val="Normal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eastAsia="Calibri" w:cs="Times New Roman"/>
          <w:sz w:val="26"/>
          <w:szCs w:val="26"/>
          <w:lang w:eastAsia="en-US"/>
        </w:rPr>
        <w:t>Д</w:t>
      </w:r>
      <w:r>
        <w:rPr>
          <w:rFonts w:cs="Times New Roman"/>
          <w:sz w:val="26"/>
          <w:szCs w:val="26"/>
        </w:rPr>
        <w:t>оказательств того, что требования, включенные в аукционную документацию, создали одним участникам преимущество перед другими, являлись непреодолимыми для кого-либо из участников закупки или повлекли ограничение количества участников и, как следствие, ограничение конкуренции, Заявителем не представлено.</w:t>
      </w:r>
    </w:p>
    <w:p>
      <w:pPr>
        <w:pStyle w:val="Normal"/>
        <w:jc w:val="both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</w:rPr>
        <w:tab/>
        <w:t>Согласно пункта 1.2.2 Технического задания аукционной документации, Исполнитель должен и</w:t>
      </w:r>
      <w:r>
        <w:rPr>
          <w:rFonts w:cs="Times New Roman"/>
          <w:sz w:val="26"/>
          <w:szCs w:val="26"/>
          <w:highlight w:val="white"/>
        </w:rPr>
        <w:t xml:space="preserve">меть </w:t>
      </w:r>
      <w:bookmarkStart w:id="0" w:name="__DdeLink__6791_818201314"/>
      <w:bookmarkEnd w:id="0"/>
      <w:r>
        <w:rPr>
          <w:rFonts w:cs="Times New Roman"/>
          <w:sz w:val="26"/>
          <w:szCs w:val="26"/>
          <w:highlight w:val="white"/>
        </w:rPr>
        <w:t>медицинскую книжку установленного образца в соответствии с Приложением № 1 к Приказу Роспотребнадзора от 20.05.2005 г. № 402 (далее - приказ № 402) «О личной медицинской книжке и санитарном паспорте» в действующей редакции.</w:t>
        <w:tab/>
      </w:r>
    </w:p>
    <w:p>
      <w:pPr>
        <w:pStyle w:val="Normal"/>
        <w:jc w:val="both"/>
        <w:rPr>
          <w:rFonts w:cs="Times New Roman"/>
          <w:sz w:val="26"/>
          <w:szCs w:val="26"/>
          <w:highlight w:val="white"/>
        </w:rPr>
      </w:pPr>
      <w:r>
        <w:rPr>
          <w:rFonts w:cs="Times New Roman"/>
          <w:sz w:val="26"/>
          <w:szCs w:val="26"/>
          <w:highlight w:val="white"/>
        </w:rPr>
        <w:tab/>
        <w:t xml:space="preserve">В соответствии с частью 1.1 Приказа № 402 форма медицинской книжки утверждена для  работников отдельных профессий, производств 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В приказе № 402 отсутствуют профессии связанные с охранной деятельности. Правовое обоснование своей позиции, по поводу наличия у сотрудников медицинских книжек установленного  образца в соответствии с Приложением № 1 к приказу № 402, Заказчик не </w:t>
      </w:r>
      <w:r>
        <w:rPr>
          <w:rFonts w:cs="Times New Roman"/>
          <w:bCs/>
          <w:sz w:val="26"/>
          <w:szCs w:val="26"/>
          <w:highlight w:val="white"/>
        </w:rPr>
        <w:t>предоставил.</w:t>
      </w:r>
      <w:r>
        <w:rPr>
          <w:rFonts w:cs="Times New Roman"/>
          <w:sz w:val="26"/>
          <w:szCs w:val="26"/>
          <w:highlight w:val="white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highlight w:val="white"/>
        </w:rPr>
        <w:tab/>
        <w:t xml:space="preserve">Исходя из этого, Комиссия приходит к выводу, что Заказчик нарушил </w:t>
      </w:r>
      <w:r>
        <w:rPr>
          <w:color w:val="0000FF"/>
          <w:sz w:val="26"/>
          <w:szCs w:val="26"/>
        </w:rPr>
        <w:t>пункт 1 части 1 статьи 64,</w:t>
      </w:r>
      <w:r>
        <w:rPr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пункт 1 части 1 статьи 33</w:t>
      </w:r>
      <w:r>
        <w:rPr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Пунктами 2.1 и 2.2 установлены требования к качественным характеристикам услуг, а именно наличие у Исполнителя оперативной дежурной службы (оперативного дежурного) с круглосуточным режимом работы, имеющего постоянную радиосвязь и/или мобильную связь с объектом охраны, наличие у работников Исполнителя на объекте охраны служебной радиосвязи и/или мобильной связи с оперативной дежурной службой (оперативным дежурным) Исполнителя и соответствующей дежурной частью УМВД России по Ненецкому автономному округу. Исполнитель, согласно контракта оказывает охранные услуги</w:t>
      </w:r>
      <w:r>
        <w:rPr>
          <w:i w:val="false"/>
          <w:iCs w:val="false"/>
          <w:sz w:val="26"/>
          <w:szCs w:val="26"/>
        </w:rPr>
        <w:t>, услуги по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обслуживанию технических средств охраны объектов и в случае чрезвычайных ситуаций должен иметь возможность сообщить с помощью телефонной (мобильной) связи или радиосвязи через оперативного дежурного Исполнителя о чрезвычайной ситуации экстренным службам.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образом, комиссия не находит нарушений Закона о контрактной системе в установлении требований о наличии постоянной радиосвязи и (или) мобильной связи у сотрудника исполнителя на охраняемом объекте с оперативным дежурным Исполнителя и дежурной частью УМВД России по   Ненецкому автономному округу.</w:t>
      </w:r>
    </w:p>
    <w:p>
      <w:pPr>
        <w:pStyle w:val="Normal"/>
        <w:jc w:val="both"/>
        <w:rPr>
          <w:rFonts w:cs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Согласно раздела </w:t>
      </w:r>
      <w:r>
        <w:rPr>
          <w:rFonts w:cs="Times New Roman"/>
          <w:sz w:val="26"/>
          <w:szCs w:val="26"/>
          <w:lang w:val="en-US"/>
        </w:rPr>
        <w:t>I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b w:val="false"/>
          <w:bCs w:val="false"/>
          <w:sz w:val="26"/>
          <w:szCs w:val="26"/>
        </w:rPr>
        <w:t>ИНФОРМАЦИОННАЯ КАРТА ЭЛЕКТРОННОГО АУКЦИОНА</w:t>
      </w:r>
      <w:r>
        <w:rPr>
          <w:rFonts w:cs="Times New Roman"/>
          <w:sz w:val="26"/>
          <w:szCs w:val="26"/>
        </w:rPr>
        <w:t xml:space="preserve"> Заказчиком установлены дата начала предоставления разъяснений положений аукционной документации: </w:t>
      </w:r>
      <w:r>
        <w:rPr>
          <w:rFonts w:cs="Times New Roman"/>
          <w:b/>
          <w:bCs/>
          <w:sz w:val="26"/>
          <w:szCs w:val="26"/>
        </w:rPr>
        <w:t>25.02.2016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 дата окончания предоставления разъяснений положений аукционной документации: </w:t>
      </w:r>
      <w:r>
        <w:rPr>
          <w:rFonts w:cs="Times New Roman"/>
          <w:b/>
          <w:bCs/>
          <w:sz w:val="26"/>
          <w:szCs w:val="26"/>
        </w:rPr>
        <w:t>03.03.2016.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Заявитель не воспользовался правом подать з</w:t>
      </w:r>
      <w:r>
        <w:rPr>
          <w:rFonts w:cs="Times New Roman"/>
          <w:sz w:val="26"/>
          <w:szCs w:val="26"/>
          <w:lang w:eastAsia="ru-RU"/>
        </w:rPr>
        <w:t>апрос о даче разъяснений положений аукционной документации. (статья 65 Закона о контрактной системе).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eastAsia="ru-RU"/>
        </w:rPr>
        <w:tab/>
      </w:r>
    </w:p>
    <w:p>
      <w:pPr>
        <w:pStyle w:val="Normal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изложенного,  руководствуясь</w:t>
      </w:r>
      <w:hyperlink r:id="rId11">
        <w:r>
          <w:rPr>
            <w:rStyle w:val="Style14"/>
            <w:color w:val="0000FF"/>
            <w:sz w:val="26"/>
            <w:szCs w:val="26"/>
          </w:rPr>
          <w:t xml:space="preserve"> статьей 99</w:t>
        </w:r>
      </w:hyperlink>
      <w:r>
        <w:rPr>
          <w:sz w:val="26"/>
          <w:szCs w:val="26"/>
        </w:rPr>
        <w:t xml:space="preserve"> Закона о контрактной системе, Комиссия</w:t>
      </w:r>
    </w:p>
    <w:p>
      <w:pPr>
        <w:pStyle w:val="Normal"/>
        <w:autoSpaceDE w:val="false"/>
        <w:ind w:left="0" w:right="0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autoSpaceDE w:val="false"/>
        <w:ind w:left="0" w:right="0"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заказчика нарушившим требования </w:t>
      </w:r>
      <w:hyperlink r:id="rId12">
        <w:r>
          <w:rPr>
            <w:rStyle w:val="Style14"/>
            <w:color w:val="0000FF"/>
            <w:sz w:val="26"/>
            <w:szCs w:val="26"/>
          </w:rPr>
          <w:t>пункта 1 части 1 статьи 33</w:t>
        </w:r>
      </w:hyperlink>
      <w:r>
        <w:rPr>
          <w:sz w:val="26"/>
          <w:szCs w:val="26"/>
        </w:rPr>
        <w:t xml:space="preserve">, </w:t>
      </w:r>
      <w:hyperlink r:id="rId13">
        <w:r>
          <w:rPr>
            <w:rStyle w:val="Style14"/>
            <w:color w:val="0000FF"/>
            <w:sz w:val="26"/>
            <w:szCs w:val="26"/>
          </w:rPr>
          <w:t>пункта 1 части 1 статьи 64</w:t>
        </w:r>
      </w:hyperlink>
      <w:r>
        <w:rPr>
          <w:sz w:val="26"/>
          <w:szCs w:val="26"/>
        </w:rPr>
        <w:t xml:space="preserve"> Закона о контрактной системе.</w:t>
      </w:r>
    </w:p>
    <w:p>
      <w:pPr>
        <w:pStyle w:val="Normal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cs="Times New Roman CYR" w:ascii="Times New Roman CYR" w:hAnsi="Times New Roman CYR"/>
          <w:sz w:val="26"/>
          <w:szCs w:val="26"/>
        </w:rPr>
        <w:t xml:space="preserve">В связи с тем, что Заказчиком по результатам проведения Аукциона заключен контракт предписание об устранении выявленных нарушений не выдавать. </w:t>
      </w:r>
    </w:p>
    <w:p>
      <w:pPr>
        <w:pStyle w:val="Normal"/>
        <w:autoSpaceDE w:val="false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Передать материалы по информации поступившей от ООО «Компания «Интех» уполномоченному должностному лицу Ненецкого УФАС России для принятия решения о необходимости применения мер административного реагирования в отношении должностного лица заказчика.</w:t>
      </w:r>
    </w:p>
    <w:p>
      <w:pPr>
        <w:pStyle w:val="Normal"/>
        <w:autoSpaceDE w:val="false"/>
        <w:ind w:left="0" w:right="0"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</w:r>
    </w:p>
    <w:p>
      <w:pPr>
        <w:pStyle w:val="ConsPlusNormal"/>
        <w:ind w:left="0" w:right="0" w:firstLine="540"/>
        <w:jc w:val="both"/>
        <w:rPr>
          <w:rFonts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 xml:space="preserve">Настоящее решение может быть обжаловано в Арбитражный суд Архангельской области в течение трех месяцев со дня его принятия. </w:t>
      </w:r>
    </w:p>
    <w:p>
      <w:pPr>
        <w:pStyle w:val="Normal"/>
        <w:rPr>
          <w:rFonts w:cs="Times New Roman"/>
          <w:i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</w:r>
    </w:p>
    <w:p>
      <w:pPr>
        <w:pStyle w:val="Normal"/>
        <w:rPr>
          <w:rFonts w:cs="Times New Roman"/>
          <w:i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175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14">
        <w:r>
          <w:rPr/>
        </w:r>
      </w:hyperlink>
    </w:p>
    <w:sectPr>
      <w:headerReference w:type="default" r:id="rId15"/>
      <w:footerReference w:type="default" r:id="rId16"/>
      <w:type w:val="nextPage"/>
      <w:pgSz w:w="11906" w:h="16838"/>
      <w:pgMar w:left="1701" w:right="567" w:header="709" w:top="85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isplayBackgroundShape/>
  <w:defaultTabStop w:val="69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rFonts w:cs="Times New Roman"/>
      <w:color w:val="0000FF"/>
      <w:u w:val="single"/>
    </w:rPr>
  </w:style>
  <w:style w:type="character" w:styleId="Spellcheckerwordhighlight">
    <w:name w:val="spellchecker-word-highlight"/>
    <w:basedOn w:val="Style13"/>
    <w:qFormat/>
    <w:rPr/>
  </w:style>
  <w:style w:type="character" w:styleId="Appleconvertedspace">
    <w:name w:val="apple-converted-space"/>
    <w:basedOn w:val="Style13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>
      <w:sz w:val="24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Адресат вверху"/>
    <w:basedOn w:val="Normal"/>
    <w:qFormat/>
    <w:pPr>
      <w:suppressAutoHyphens w:val="true"/>
      <w:jc w:val="both"/>
    </w:pPr>
    <w:rPr>
      <w:b/>
      <w:sz w:val="24"/>
    </w:rPr>
  </w:style>
  <w:style w:type="paragraph" w:styleId="ConsPlusNormal">
    <w:name w:val="ConsPlusNormal"/>
    <w:qFormat/>
    <w:pPr>
      <w:widowControl w:val="false"/>
      <w:suppressAutoHyphens w:val="true"/>
      <w:autoSpaceDE w:val="false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Parameter">
    <w:name w:val="parameter"/>
    <w:basedOn w:val="Normal"/>
    <w:qFormat/>
    <w:pPr>
      <w:spacing w:before="280" w:after="280"/>
    </w:pPr>
    <w:rPr>
      <w:sz w:val="24"/>
      <w:szCs w:val="24"/>
    </w:rPr>
  </w:style>
  <w:style w:type="paragraph" w:styleId="Parametervalue">
    <w:name w:val="parametervalue"/>
    <w:basedOn w:val="Normal"/>
    <w:qFormat/>
    <w:pPr>
      <w:spacing w:before="280" w:after="280"/>
    </w:pPr>
    <w:rPr>
      <w:sz w:val="24"/>
      <w:szCs w:val="24"/>
    </w:rPr>
  </w:style>
  <w:style w:type="paragraph" w:styleId="Style23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66D9FF086D4498A4439526F9280A052293285FC786ABFD2988BC81A0862506C6A989486BE170376zFl1M" TargetMode="External"/><Relationship Id="rId4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186B65F578DA7967C3F1D327074FA572558EF297B5296A65279D39665EC9E09563AF68FFBBDE50FFS6MAI" TargetMode="External"/><Relationship Id="rId6" Type="http://schemas.openxmlformats.org/officeDocument/2006/relationships/hyperlink" Target="consultantplus://offline/ref=65902B826DD013BC64E3F5C443B099E367610068962BE49B75E70F6830609A8CC31BE40B76F411D5K0a1M" TargetMode="External"/><Relationship Id="rId7" Type="http://schemas.openxmlformats.org/officeDocument/2006/relationships/hyperlink" Target="consultantplus://offline/ref=65902B826DD013BC64E3F5C443B099E367610068962BE49B75E70F6830609A8CC31BE40B76F411D5K0a0M" TargetMode="External"/><Relationship Id="rId8" Type="http://schemas.openxmlformats.org/officeDocument/2006/relationships/hyperlink" Target="consultantplus://offline/ref=65902B826DD013BC64E3F5C443B099E367610068962BE49B75E70F6830609A8CC31BE40B76F41ADFK0a5M" TargetMode="External"/><Relationship Id="rId9" Type="http://schemas.openxmlformats.org/officeDocument/2006/relationships/hyperlink" Target="consultantplus://offline/ref=65902B826DD013BC64E3F5C443B099E367610068962BE49B75E70F6830609A8CC31BE40B76F411D3K0a4M" TargetMode="External"/><Relationship Id="rId10" Type="http://schemas.openxmlformats.org/officeDocument/2006/relationships/hyperlink" Target="consultantplus://offline/ref=65902B826DD013BC64E3F5C443B099E367610068962BE49B75E70F6830609A8CC31BE40B76F411D1K0a0M" TargetMode="External"/><Relationship Id="rId11" Type="http://schemas.openxmlformats.org/officeDocument/2006/relationships/hyperlink" Target="consultantplus://offline/ref=5FE90BF210F4219A7AB19486670643FC4B573ED825B500C213FE0A765A0C6E14E26002C8856A27CDu0e2N" TargetMode="External"/><Relationship Id="rId12" Type="http://schemas.openxmlformats.org/officeDocument/2006/relationships/hyperlink" Target="consultantplus://offline/ref=8AA30C28F054FB872E1F3D4D9BCD61C4D27AF61B6A10CE908B8B5352ADFDA2A0F6A764794185C680n7u3K" TargetMode="External"/><Relationship Id="rId13" Type="http://schemas.openxmlformats.org/officeDocument/2006/relationships/hyperlink" Target="consultantplus://offline/ref=8AA30C28F054FB872E1F3D4D9BCD61C4D27AF61B6A10CE908B8B5352ADFDA2A0F6A764794184C983n7u5K" TargetMode="External"/><Relationship Id="rId14" Type="http://schemas.openxmlformats.org/officeDocument/2006/relationships/hyperlink" Target="consultantplus://offline/ref=FF540893F1F817D4D1DFDD70C40CB3E1313982ED3B405E1799D60929508F0DECE25FB4A664KFd9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LibreOffice/5.1.2.2$Windows_X86_64 LibreOffice_project/d3bf12ecb743fc0d20e0be0c58ca359301eb705f</Application>
  <Pages>6</Pages>
  <Words>1879</Words>
  <Characters>12829</Characters>
  <CharactersWithSpaces>14911</CharactersWithSpaces>
  <Paragraphs>73</Paragraphs>
  <Company>КонсультантПлюс Версия 4015.00.08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2016-05-23T09:39:00Z</dcterms:created>
  <dc:creator>USER</dc:creator>
  <dc:description/>
  <dc:language>ru-RU</dc:language>
  <cp:lastModifiedBy/>
  <cp:lastPrinted>2016-05-23T10:26:00Z</cp:lastPrinted>
  <dcterms:modified xsi:type="dcterms:W3CDTF">2016-06-02T14:01:33Z</dcterms:modified>
  <cp:revision>6</cp:revision>
  <dc:subject/>
  <dc:title>Федеральный закон от 05.04.2013 N 44-ФЗ(ред. от 05.04.2016)"О контрактной системе в сфере закупок товаров, работ, услуг для обеспечения государственных и муниципальных нужд"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