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5"/>
      </w:tblGrid>
      <w:tr>
        <w:trPr>
          <w:trHeight w:val="1862" w:hRule="atLeast"/>
        </w:trPr>
        <w:tc>
          <w:tcPr>
            <w:tcW w:w="9805" w:type="dxa"/>
            <w:tcBorders/>
            <w:shd w:fill="auto" w:val="clear"/>
          </w:tcPr>
          <w:p>
            <w:pPr>
              <w:pStyle w:val="Style20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  <w:sz w:val="24"/>
              </w:rPr>
              <w:drawing>
                <wp:anchor behindDoc="0" distT="0" distB="0" distL="114935" distR="114935" simplePos="0" locked="0" layoutInCell="1" allowOverlap="1" relativeHeight="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-2540</wp:posOffset>
                  </wp:positionV>
                  <wp:extent cx="685165" cy="677545"/>
                  <wp:effectExtent l="0" t="0" r="0" b="0"/>
                  <wp:wrapTight wrapText="bothSides">
                    <wp:wrapPolygon edited="0">
                      <wp:start x="-332" y="0"/>
                      <wp:lineTo x="-332" y="21241"/>
                      <wp:lineTo x="21600" y="21241"/>
                      <wp:lineTo x="21600" y="0"/>
                      <wp:lineTo x="-332" y="0"/>
                    </wp:wrapPolygon>
                  </wp:wrapTight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3"/>
              <w:numPr>
                <w:ilvl w:val="2"/>
                <w:numId w:val="2"/>
              </w:numPr>
              <w:rPr>
                <w:b/>
                <w:b/>
                <w:color w:val="0066CC"/>
                <w:sz w:val="32"/>
              </w:rPr>
            </w:pPr>
            <w:r>
              <w:rPr>
                <w:b/>
                <w:color w:val="0066CC"/>
                <w:sz w:val="32"/>
              </w:rPr>
            </w:r>
          </w:p>
          <w:p>
            <w:pPr>
              <w:pStyle w:val="3"/>
              <w:numPr>
                <w:ilvl w:val="2"/>
                <w:numId w:val="2"/>
              </w:numPr>
              <w:rPr>
                <w:color w:val="0066CC"/>
                <w:sz w:val="32"/>
              </w:rPr>
            </w:pPr>
            <w:r>
              <w:rPr>
                <w:color w:val="0066CC"/>
                <w:sz w:val="32"/>
              </w:rPr>
            </w:r>
          </w:p>
          <w:p>
            <w:pPr>
              <w:pStyle w:val="3"/>
              <w:numPr>
                <w:ilvl w:val="2"/>
                <w:numId w:val="2"/>
              </w:numPr>
              <w:rPr>
                <w:color w:val="0066CC"/>
                <w:sz w:val="22"/>
              </w:rPr>
            </w:pPr>
            <w:r>
              <w:rPr>
                <w:color w:val="0066CC"/>
                <w:sz w:val="32"/>
              </w:rPr>
              <w:t>Р Е Ш Е Н И Е</w:t>
            </w:r>
          </w:p>
          <w:p>
            <w:pPr>
              <w:pStyle w:val="Normal"/>
              <w:jc w:val="center"/>
              <w:rPr>
                <w:color w:val="0066CC"/>
                <w:sz w:val="22"/>
              </w:rPr>
            </w:pPr>
            <w:r>
              <w:rPr>
                <w:color w:val="0066CC"/>
                <w:sz w:val="22"/>
              </w:rPr>
            </w:r>
          </w:p>
          <w:p>
            <w:pPr>
              <w:pStyle w:val="Normal"/>
              <w:jc w:val="center"/>
              <w:rPr>
                <w:bCs/>
                <w:color w:val="0066CC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нарушении законодательства о контрактной системе</w:t>
            </w:r>
          </w:p>
          <w:p>
            <w:pPr>
              <w:pStyle w:val="Normal"/>
              <w:jc w:val="center"/>
              <w:rPr>
                <w:bCs/>
                <w:color w:val="0066CC"/>
                <w:sz w:val="26"/>
                <w:szCs w:val="26"/>
              </w:rPr>
            </w:pPr>
            <w:r>
              <w:rPr>
                <w:bCs/>
                <w:color w:val="0066CC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Cs/>
                <w:color w:val="0066CC"/>
                <w:sz w:val="22"/>
                <w:szCs w:val="26"/>
              </w:rPr>
            </w:pPr>
            <w:r>
              <w:rPr>
                <w:bCs/>
                <w:color w:val="0066CC"/>
                <w:sz w:val="22"/>
                <w:szCs w:val="26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24.05.2016 г.</w:t>
            </w:r>
            <w:r>
              <w:rPr>
                <w:sz w:val="22"/>
              </w:rPr>
              <w:t xml:space="preserve">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>№ 01-33/18-2016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г. Нарьян-Мар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6"/>
        <w:ind w:left="0" w:right="0" w:firstLine="540"/>
        <w:rPr>
          <w:b w:val="false"/>
          <w:b w:val="false"/>
          <w:sz w:val="26"/>
          <w:szCs w:val="26"/>
        </w:rPr>
      </w:pPr>
      <w:r>
        <w:rPr>
          <w:sz w:val="26"/>
          <w:szCs w:val="26"/>
        </w:rPr>
        <w:t>Сведения о проверке:</w:t>
      </w:r>
    </w:p>
    <w:p>
      <w:pPr>
        <w:pStyle w:val="Style26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Проведена в соответствии со статьей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Закон о контрактной системе);</w:t>
      </w:r>
    </w:p>
    <w:p>
      <w:pPr>
        <w:pStyle w:val="Style26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Срок проведения: с 19 мая 2016 года по 24 мая 2016 года;</w:t>
      </w:r>
    </w:p>
    <w:p>
      <w:pPr>
        <w:pStyle w:val="Style26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Основание – жалоба ООО НПК «СеверПроект» (далее по тексту – заявитель) на действия конкурсной комиссии  (закупка № 0184200000616000092).</w:t>
      </w:r>
    </w:p>
    <w:p>
      <w:pPr>
        <w:pStyle w:val="Style26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Сведения о закупке № 0184200000616000092, на которую поступила жалоба:</w:t>
      </w:r>
    </w:p>
    <w:p>
      <w:pPr>
        <w:pStyle w:val="Style26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390" w:type="dxa"/>
        <w:jc w:val="left"/>
        <w:tblInd w:w="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5" w:type="dxa"/>
          <w:bottom w:w="15" w:type="dxa"/>
          <w:right w:w="15" w:type="dxa"/>
        </w:tblCellMar>
      </w:tblPr>
      <w:tblGrid>
        <w:gridCol w:w="4129"/>
        <w:gridCol w:w="5260"/>
      </w:tblGrid>
      <w:tr>
        <w:trPr/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закупки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 работ по текущему ремонту административного здания</w:t>
            </w:r>
          </w:p>
        </w:tc>
      </w:tr>
      <w:tr>
        <w:trPr/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конкурс</w:t>
            </w:r>
          </w:p>
        </w:tc>
      </w:tr>
      <w:tr>
        <w:trPr/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и адрес его местонахождения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before="0" w:after="0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  <w:p>
            <w:pPr>
              <w:pStyle w:val="Normal"/>
              <w:spacing w:before="0" w:after="0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166700, Ненецкий автономный округ, город Нарьян-Мар, поселок городского типа Искателей, пер. Арктический, д.3</w:t>
            </w:r>
          </w:p>
        </w:tc>
      </w:tr>
      <w:tr>
        <w:trPr/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орган и адрес его местонахождения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государственного заказа Ненецкого автономного округа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27В, г. Нарьян-Мар, НАО, 166000</w:t>
            </w:r>
          </w:p>
        </w:tc>
      </w:tr>
      <w:tr>
        <w:trPr/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Parameter"/>
              <w:spacing w:before="28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(максимальная) цена контракта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before="60" w:after="200"/>
              <w:ind w:left="0" w:right="0" w:firstLine="5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6"/>
                <w:szCs w:val="24"/>
              </w:rPr>
              <w:t>2 436 960,00 (Два миллиона четыреста тридцать шесть тысяч девятьсот шестьдесят рублей 00 копеек.)</w:t>
            </w:r>
          </w:p>
        </w:tc>
      </w:tr>
      <w:tr>
        <w:trPr/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4"/>
              </w:rPr>
              <w:t>Место, дата и время вскрытия конвертов с заявками на участие в конкурсе, дата рассмотрения и оценки таких заявок.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25 апреля 2016 г. в 11 часов 00 минут</w:t>
            </w:r>
            <w:r>
              <w:rPr>
                <w:sz w:val="26"/>
                <w:szCs w:val="26"/>
              </w:rPr>
              <w:t xml:space="preserve">  (время московское) по адресу: Ненецкий АО, г. Нарьян-Мар, ул. Ленина д. 27В каб. 30. </w:t>
            </w:r>
          </w:p>
        </w:tc>
      </w:tr>
      <w:tr>
        <w:trPr/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для публикации сведений о закупке в информационно-телекоммуникационной сети «Интернет»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ind w:left="0" w:right="0" w:firstLine="540"/>
              <w:rPr/>
            </w:pPr>
            <w:hyperlink r:id="rId3">
              <w:r>
                <w:rPr>
                  <w:rStyle w:val="Style15"/>
                  <w:sz w:val="26"/>
                  <w:szCs w:val="26"/>
                  <w:lang w:val="en-US"/>
                </w:rPr>
                <w:t>www</w:t>
              </w:r>
              <w:r>
                <w:rPr>
                  <w:rStyle w:val="Style15"/>
                  <w:sz w:val="26"/>
                  <w:szCs w:val="26"/>
                </w:rPr>
                <w:t>.</w:t>
              </w:r>
              <w:r>
                <w:rPr>
                  <w:rStyle w:val="Style15"/>
                  <w:sz w:val="26"/>
                  <w:szCs w:val="26"/>
                  <w:lang w:val="en-US"/>
                </w:rPr>
                <w:t>zakupki</w:t>
              </w:r>
              <w:r>
                <w:rPr>
                  <w:rStyle w:val="Style15"/>
                  <w:sz w:val="26"/>
                  <w:szCs w:val="26"/>
                </w:rPr>
                <w:t>.</w:t>
              </w:r>
              <w:r>
                <w:rPr>
                  <w:rStyle w:val="Style15"/>
                  <w:sz w:val="26"/>
                  <w:szCs w:val="26"/>
                  <w:lang w:val="en-US"/>
                </w:rPr>
                <w:t>gov</w:t>
              </w:r>
              <w:r>
                <w:rPr>
                  <w:rStyle w:val="Style15"/>
                  <w:sz w:val="26"/>
                  <w:szCs w:val="26"/>
                </w:rPr>
                <w:t>.</w:t>
              </w:r>
              <w:r>
                <w:rPr>
                  <w:rStyle w:val="Style15"/>
                  <w:sz w:val="26"/>
                  <w:szCs w:val="26"/>
                  <w:lang w:val="en-US"/>
                </w:rPr>
                <w:t>ru</w:t>
              </w:r>
            </w:hyperlink>
          </w:p>
        </w:tc>
      </w:tr>
    </w:tbl>
    <w:p>
      <w:pPr>
        <w:pStyle w:val="Style26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26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Дата рассмотрения материалов проверки – 24 мая 2016 года.</w:t>
      </w:r>
    </w:p>
    <w:p>
      <w:pPr>
        <w:pStyle w:val="Style26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Рассмотрение проведено Комиссией Управления Федеральной антимонопольной службы по Ненецкому автономному округу (далее по тексту – Комиссия) в составе:</w:t>
      </w:r>
    </w:p>
    <w:p>
      <w:pPr>
        <w:pStyle w:val="Style26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Председатель Комиссии:</w:t>
      </w:r>
    </w:p>
    <w:p>
      <w:pPr>
        <w:pStyle w:val="Style26"/>
        <w:ind w:left="0" w:right="0" w:firstLine="540"/>
        <w:rPr>
          <w:b w:val="false"/>
          <w:b w:val="false"/>
          <w:sz w:val="26"/>
          <w:szCs w:val="26"/>
        </w:rPr>
      </w:pPr>
      <w:r>
        <w:rPr/>
      </w:r>
    </w:p>
    <w:p>
      <w:pPr>
        <w:pStyle w:val="Style26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 xml:space="preserve">Члены Комиссии: </w:t>
      </w:r>
    </w:p>
    <w:p>
      <w:pPr>
        <w:pStyle w:val="Style26"/>
        <w:ind w:left="0" w:right="0" w:firstLine="540"/>
        <w:rPr>
          <w:b w:val="false"/>
          <w:b w:val="false"/>
          <w:sz w:val="26"/>
          <w:szCs w:val="26"/>
        </w:rPr>
      </w:pPr>
      <w:r>
        <w:rPr/>
      </w:r>
    </w:p>
    <w:p>
      <w:pPr>
        <w:pStyle w:val="Style26"/>
        <w:ind w:left="0" w:right="0" w:firstLine="540"/>
        <w:rPr/>
      </w:pPr>
      <w:r>
        <w:rPr>
          <w:b w:val="false"/>
          <w:sz w:val="26"/>
          <w:szCs w:val="26"/>
        </w:rPr>
        <w:t>в отсутствии законного представителя Заявителя (уведомлен), в присутствии представител</w:t>
      </w:r>
      <w:r>
        <w:rPr>
          <w:b w:val="false"/>
          <w:sz w:val="26"/>
          <w:szCs w:val="26"/>
        </w:rPr>
        <w:t>я</w:t>
      </w:r>
      <w:r>
        <w:rPr>
          <w:b w:val="false"/>
          <w:sz w:val="26"/>
          <w:szCs w:val="26"/>
        </w:rPr>
        <w:t xml:space="preserve"> Заказчика, </w:t>
      </w:r>
      <w:r>
        <w:rPr>
          <w:b w:val="false"/>
          <w:sz w:val="26"/>
          <w:szCs w:val="26"/>
        </w:rPr>
        <w:t>представителя</w:t>
      </w:r>
      <w:r>
        <w:rPr>
          <w:b w:val="false"/>
          <w:sz w:val="26"/>
          <w:szCs w:val="26"/>
        </w:rPr>
        <w:t xml:space="preserve"> Уполномоченного органа </w:t>
      </w:r>
      <w:r>
        <w:rPr>
          <w:b w:val="false"/>
          <w:sz w:val="26"/>
          <w:szCs w:val="26"/>
        </w:rPr>
        <w:t>(доверенность №б/н от 24.05.2016)</w:t>
      </w:r>
      <w:r>
        <w:rPr>
          <w:b w:val="false"/>
          <w:sz w:val="26"/>
          <w:szCs w:val="26"/>
        </w:rPr>
        <w:t>.</w:t>
      </w:r>
    </w:p>
    <w:p>
      <w:pPr>
        <w:pStyle w:val="Style26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При проведении проверки и рассмотрении жалобы заявителя, материалов дела № 01-33/18-2016 Комиссия</w:t>
      </w:r>
    </w:p>
    <w:p>
      <w:pPr>
        <w:pStyle w:val="Normal"/>
        <w:ind w:left="0" w:right="-50"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-50" w:firstLine="540"/>
        <w:jc w:val="center"/>
        <w:rPr>
          <w:sz w:val="26"/>
          <w:szCs w:val="26"/>
        </w:rPr>
      </w:pPr>
      <w:r>
        <w:rPr>
          <w:sz w:val="26"/>
          <w:szCs w:val="26"/>
        </w:rPr>
        <w:t>УСТАНОВИЛА:</w:t>
      </w:r>
    </w:p>
    <w:p>
      <w:pPr>
        <w:pStyle w:val="Normal"/>
        <w:spacing w:before="240" w:after="0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18.05.2016 в Управление Федеральной антимонопольной службы по Ненецкому автономному округу (далее по тексту - Ненецкое УФАС России) поступила жалоба (вх. № 1341) от Заявителя.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Доводы жалобы: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По мнению заявителя Конкурсная комиссия при оценке и сопоставлении заявок на участие в Конкурсе по  показателю «Наличие успешного опыта оказания услуг сопоставимого характера» по нестоймостному критерию «Квалификация участников закупки» присвоила 0 баллов (0 контрактов (договоров)), что не соответствует представленным документам в составе заявки Заявителя.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 xml:space="preserve">Заказчиком и уполномоченным органом представлены объяснения по существу жалобы (вх. № 1392, № 1393), согласно которым Заявитель не представил копий исполненных государственных контрактов, включая все приложения к ним, а так же копий трудовых договоров и иных документов подтверждающие нахождение специалистов в штате, трудовых книжек (подтверждающих стаж работы по специальности). Заказчик и уполномоченный орган просит жалобу Заявителя оставить без рассмотрения. 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 xml:space="preserve">Уполномоченным органом, на рассмотрение Комиссии, представлены подлинники документов в составе заявок участников.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Согласно </w:t>
      </w:r>
      <w:r>
        <w:rPr>
          <w:rFonts w:ascii="Times New Roman" w:hAnsi="Times New Roman"/>
          <w:color w:val="0000FF"/>
          <w:sz w:val="26"/>
          <w:szCs w:val="26"/>
        </w:rPr>
        <w:t>пункту 9 части 1 статьи 50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конкурсная документация наряду с информацией, указанной в извещении о проведении открытого конкурса, должна содержать 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Законом</w:t>
      </w:r>
      <w:r>
        <w:rPr>
          <w:rFonts w:ascii="Times New Roman" w:hAnsi="Times New Roman"/>
          <w:sz w:val="26"/>
          <w:szCs w:val="26"/>
        </w:rPr>
        <w:t xml:space="preserve"> о контрактной системе.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5 статьи 53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color w:val="0000FF"/>
          <w:sz w:val="26"/>
          <w:szCs w:val="26"/>
        </w:rPr>
        <w:t>части 7 статьи 53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1 статьи 32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 1) цена контракта; 2) расходы на эксплуатацию и ремонт товаров, использование результатов работ; 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8 статьи 32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порядок оценки заявок, окончательных предложений участников закупки, в том числе предельные </w:t>
      </w:r>
      <w:r>
        <w:rPr>
          <w:rFonts w:ascii="Times New Roman" w:hAnsi="Times New Roman"/>
          <w:color w:val="0000FF"/>
          <w:sz w:val="26"/>
          <w:szCs w:val="26"/>
        </w:rPr>
        <w:t>величины</w:t>
      </w:r>
      <w:r>
        <w:rPr>
          <w:rFonts w:ascii="Times New Roman" w:hAnsi="Times New Roman"/>
          <w:sz w:val="26"/>
          <w:szCs w:val="26"/>
        </w:rPr>
        <w:t xml:space="preserve"> значимости каждого критерия, устанавливаются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Правила).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согласно </w:t>
      </w:r>
      <w:r>
        <w:rPr>
          <w:rFonts w:ascii="Times New Roman" w:hAnsi="Times New Roman"/>
          <w:color w:val="0000FF"/>
          <w:sz w:val="26"/>
          <w:szCs w:val="26"/>
        </w:rPr>
        <w:t>пункту 3</w:t>
      </w:r>
      <w:r>
        <w:rPr>
          <w:rFonts w:ascii="Times New Roman" w:hAnsi="Times New Roman"/>
          <w:sz w:val="26"/>
          <w:szCs w:val="26"/>
        </w:rPr>
        <w:t xml:space="preserve"> Правил, 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rFonts w:ascii="Times New Roman" w:hAnsi="Times New Roman"/>
          <w:color w:val="0000FF"/>
          <w:sz w:val="26"/>
          <w:szCs w:val="26"/>
        </w:rPr>
        <w:t>Пунктом 11</w:t>
      </w:r>
      <w:r>
        <w:rPr>
          <w:rFonts w:ascii="Times New Roman" w:hAnsi="Times New Roman"/>
          <w:sz w:val="26"/>
          <w:szCs w:val="26"/>
        </w:rPr>
        <w:t xml:space="preserve"> Правил установлено, что для оценки заявок (предложений) по каждому критерию оценки используется 100-балльная шкала оценки. Если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пунктом 10</w:t>
      </w:r>
      <w:r>
        <w:rPr>
          <w:rFonts w:ascii="Times New Roman" w:hAnsi="Times New Roman"/>
          <w:sz w:val="26"/>
          <w:szCs w:val="26"/>
        </w:rPr>
        <w:t xml:space="preserve">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b w:val="false"/>
          <w:bCs w:val="false"/>
          <w:sz w:val="26"/>
          <w:szCs w:val="24"/>
        </w:rPr>
        <w:t>РАЗДЕЛА I</w:t>
      </w:r>
      <w:r>
        <w:rPr>
          <w:rFonts w:ascii="Times New Roman" w:hAnsi="Times New Roman"/>
          <w:b w:val="false"/>
          <w:bCs w:val="false"/>
          <w:sz w:val="26"/>
          <w:szCs w:val="24"/>
          <w:lang w:val="en-US"/>
        </w:rPr>
        <w:t>V</w:t>
      </w:r>
      <w:r>
        <w:rPr>
          <w:rFonts w:ascii="Times New Roman" w:hAnsi="Times New Roman"/>
          <w:b w:val="false"/>
          <w:bCs w:val="false"/>
          <w:color w:val="FFFFFF"/>
          <w:sz w:val="26"/>
          <w:szCs w:val="24"/>
          <w:highlight w:val="white"/>
        </w:rPr>
        <w:t> </w:t>
      </w:r>
      <w:r>
        <w:rPr>
          <w:rFonts w:ascii="Times New Roman" w:hAnsi="Times New Roman"/>
          <w:b w:val="false"/>
          <w:bCs w:val="false"/>
          <w:sz w:val="26"/>
          <w:szCs w:val="24"/>
        </w:rPr>
        <w:t>ПОРЯДОК ОЦЕНКИ ЗАЯВОК,</w:t>
      </w:r>
      <w:r>
        <w:rPr>
          <w:rFonts w:ascii="Times New Roman" w:hAnsi="Times New Roman"/>
          <w:b/>
          <w:sz w:val="26"/>
          <w:szCs w:val="24"/>
        </w:rPr>
        <w:t xml:space="preserve"> д</w:t>
      </w:r>
      <w:r>
        <w:rPr>
          <w:rFonts w:ascii="Times New Roman" w:hAnsi="Times New Roman"/>
          <w:b w:val="false"/>
          <w:bCs w:val="false"/>
          <w:sz w:val="26"/>
          <w:szCs w:val="24"/>
        </w:rPr>
        <w:t>ля определения лучших условий исполнения контракта, предложенных в заявках на участие в конкурсе, конкурсная комиссия оценивает такие заявки по: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4"/>
        </w:rPr>
        <w:t>Критерий № 1 «Цена контракта» (ЦБ</w:t>
      </w:r>
      <w:r>
        <w:rPr>
          <w:rFonts w:ascii="Times New Roman" w:hAnsi="Times New Roman"/>
          <w:b/>
          <w:bCs/>
          <w:i w:val="false"/>
          <w:iCs w:val="false"/>
          <w:sz w:val="26"/>
          <w:szCs w:val="24"/>
          <w:vertAlign w:val="subscript"/>
          <w:lang w:val="en-US"/>
        </w:rPr>
        <w:t>i</w:t>
      </w:r>
      <w:r>
        <w:rPr>
          <w:rFonts w:ascii="Times New Roman" w:hAnsi="Times New Roman"/>
          <w:b/>
          <w:bCs/>
          <w:i w:val="false"/>
          <w:iCs w:val="false"/>
          <w:sz w:val="26"/>
          <w:szCs w:val="24"/>
        </w:rPr>
        <w:t xml:space="preserve">) – значимость критерия оценки составляет 60%, </w:t>
      </w:r>
      <w:r>
        <w:rPr>
          <w:rFonts w:ascii="Times New Roman" w:hAnsi="Times New Roman"/>
          <w:b/>
          <w:i w:val="false"/>
          <w:iCs w:val="false"/>
          <w:sz w:val="26"/>
          <w:szCs w:val="24"/>
        </w:rPr>
        <w:t>коэффициент значимости</w:t>
      </w:r>
      <w:r>
        <w:rPr>
          <w:rFonts w:ascii="Times New Roman" w:hAnsi="Times New Roman"/>
          <w:b/>
          <w:bCs/>
          <w:i w:val="false"/>
          <w:iCs w:val="false"/>
          <w:sz w:val="26"/>
          <w:szCs w:val="24"/>
        </w:rPr>
        <w:t xml:space="preserve"> – 0,6.</w:t>
      </w:r>
      <w:r>
        <w:rPr>
          <w:rFonts w:ascii="Times New Roman" w:hAnsi="Times New Roman"/>
          <w:b/>
          <w:bCs/>
          <w:i/>
          <w:sz w:val="26"/>
          <w:szCs w:val="24"/>
        </w:rPr>
        <w:t xml:space="preserve">  </w:t>
      </w:r>
      <w:r>
        <w:rPr>
          <w:rFonts w:ascii="Times New Roman" w:hAnsi="Times New Roman"/>
          <w:b/>
          <w:bCs/>
          <w:sz w:val="26"/>
          <w:szCs w:val="24"/>
        </w:rPr>
        <w:t>М</w:t>
      </w:r>
      <w:r>
        <w:rPr>
          <w:rFonts w:ascii="Times New Roman" w:hAnsi="Times New Roman"/>
          <w:b/>
          <w:sz w:val="26"/>
          <w:szCs w:val="24"/>
        </w:rPr>
        <w:t>аксимальное количество баллов по критерию -100.</w:t>
      </w:r>
    </w:p>
    <w:p>
      <w:pPr>
        <w:pStyle w:val="Normal"/>
        <w:keepNext/>
        <w:widowControl w:val="false"/>
        <w:suppressAutoHyphens w:val="true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4"/>
        </w:rPr>
        <w:t>Критерий № 2 «</w:t>
      </w:r>
      <w:r>
        <w:rPr>
          <w:rFonts w:eastAsia="Calibri"/>
          <w:b/>
          <w:bCs/>
          <w:iCs/>
          <w:sz w:val="26"/>
          <w:szCs w:val="24"/>
        </w:rPr>
        <w:t xml:space="preserve">Квалификация участников закупки, в том числе наличие у них опыта работы, связанного с предметом контракта, специалистов и иных работников определенного уровня квалификации» </w:t>
      </w:r>
      <w:r>
        <w:rPr>
          <w:b/>
          <w:sz w:val="26"/>
          <w:szCs w:val="24"/>
        </w:rPr>
        <w:t>- значимость критерия оценки составляет 40 %, коэффициент значимости – 0,4. Максимальное количество баллов по критерию – 100.</w:t>
      </w:r>
    </w:p>
    <w:p>
      <w:pPr>
        <w:pStyle w:val="Normal"/>
        <w:keepNext/>
        <w:widowControl w:val="false"/>
        <w:suppressAutoHyphens w:val="true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  <w:t>Содержание критерия (предмет оценки и перечень показателей):</w:t>
      </w:r>
    </w:p>
    <w:p>
      <w:pPr>
        <w:pStyle w:val="Normal"/>
        <w:keepNext/>
        <w:widowControl w:val="false"/>
        <w:suppressAutoHyphens w:val="true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i/>
          <w:sz w:val="26"/>
          <w:szCs w:val="26"/>
        </w:rPr>
        <w:tab/>
        <w:t xml:space="preserve">Наличие у </w:t>
      </w:r>
      <w:r>
        <w:rPr>
          <w:rFonts w:eastAsia="Calibri"/>
          <w:bCs/>
          <w:i/>
          <w:sz w:val="26"/>
          <w:szCs w:val="26"/>
        </w:rPr>
        <w:t xml:space="preserve">участника конкурса </w:t>
      </w:r>
      <w:r>
        <w:rPr>
          <w:i/>
          <w:sz w:val="26"/>
          <w:szCs w:val="26"/>
        </w:rPr>
        <w:t xml:space="preserve">опыта </w:t>
      </w:r>
      <w:r>
        <w:rPr>
          <w:rFonts w:eastAsia="Calibri"/>
          <w:bCs/>
          <w:i/>
          <w:sz w:val="26"/>
          <w:szCs w:val="26"/>
        </w:rPr>
        <w:t xml:space="preserve">по успешному выполнению работ (оказанию услуг) сопоставимого характера </w:t>
      </w:r>
      <w:r>
        <w:rPr>
          <w:i/>
          <w:sz w:val="26"/>
          <w:szCs w:val="26"/>
        </w:rPr>
        <w:t>за последние 3 года (2013-2016 гг.), з</w:t>
      </w:r>
      <w:r>
        <w:rPr>
          <w:i/>
          <w:iCs/>
          <w:sz w:val="26"/>
          <w:szCs w:val="26"/>
        </w:rPr>
        <w:t>начимость показателя – 50%, коэффициент значимости – 0,5</w:t>
      </w:r>
      <w:r>
        <w:rPr>
          <w:i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>
      <w:pPr>
        <w:pStyle w:val="Normal"/>
        <w:keepNext/>
        <w:widowControl w:val="false"/>
        <w:suppressAutoHyphens w:val="true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iCs/>
          <w:sz w:val="26"/>
          <w:szCs w:val="26"/>
        </w:rPr>
        <w:t xml:space="preserve">Подтверждением </w:t>
      </w:r>
      <w:r>
        <w:rPr>
          <w:rFonts w:eastAsia="Calibri"/>
          <w:bCs/>
          <w:sz w:val="26"/>
          <w:szCs w:val="26"/>
        </w:rPr>
        <w:t xml:space="preserve">успешного выполнения работ (оказания услуг) сопоставимого характера </w:t>
      </w:r>
      <w:r>
        <w:rPr>
          <w:sz w:val="26"/>
          <w:szCs w:val="26"/>
        </w:rPr>
        <w:t>за последние 3 года (2013-2016 гг.), предшествующие дате окончания срока подачи заявок</w:t>
      </w:r>
      <w:r>
        <w:rPr>
          <w:iCs/>
          <w:sz w:val="26"/>
          <w:szCs w:val="26"/>
        </w:rPr>
        <w:t>, служат копии исполненных государственных контрактов,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включая все приложения к ним, копии итоговых актов сдачи-приемки,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удовлетворяющие следующим требованиям:</w:t>
      </w:r>
    </w:p>
    <w:p>
      <w:pPr>
        <w:pStyle w:val="Normal"/>
        <w:keepNext/>
        <w:widowControl w:val="false"/>
        <w:suppressAutoHyphens w:val="true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  <w:t>Предметом государственных контрактов являются работы (услуги) по установлению (определению) границ водоохранных зон и прибрежно-защитных полос водных объектов;</w:t>
      </w:r>
    </w:p>
    <w:p>
      <w:pPr>
        <w:pStyle w:val="Normal"/>
        <w:keepNext/>
        <w:widowControl w:val="false"/>
        <w:suppressAutoHyphens w:val="true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iCs/>
          <w:sz w:val="26"/>
          <w:szCs w:val="26"/>
        </w:rPr>
        <w:t>Цена каждого государственного контракта составляет не менее 1</w:t>
      </w:r>
      <w:r>
        <w:rPr>
          <w:iCs/>
          <w:sz w:val="26"/>
          <w:szCs w:val="26"/>
          <w:highlight w:val="white"/>
        </w:rPr>
        <w:t> </w:t>
      </w:r>
      <w:r>
        <w:rPr>
          <w:iCs/>
          <w:sz w:val="26"/>
          <w:szCs w:val="26"/>
        </w:rPr>
        <w:t>500</w:t>
      </w:r>
      <w:r>
        <w:rPr>
          <w:iCs/>
          <w:sz w:val="26"/>
          <w:szCs w:val="26"/>
          <w:highlight w:val="white"/>
        </w:rPr>
        <w:t> </w:t>
      </w:r>
      <w:r>
        <w:rPr>
          <w:iCs/>
          <w:sz w:val="26"/>
          <w:szCs w:val="26"/>
        </w:rPr>
        <w:t>000 (Один миллион пятьсот тысяч) рублей.</w:t>
      </w:r>
    </w:p>
    <w:p>
      <w:pPr>
        <w:pStyle w:val="Normal"/>
        <w:keepNext/>
        <w:widowControl w:val="false"/>
        <w:suppressAutoHyphens w:val="true"/>
        <w:jc w:val="both"/>
        <w:rPr>
          <w:rFonts w:ascii="Times New Roman" w:hAnsi="Times New Roman"/>
          <w:sz w:val="26"/>
          <w:szCs w:val="26"/>
        </w:rPr>
      </w:pPr>
      <w:r>
        <w:rPr>
          <w:i/>
          <w:sz w:val="26"/>
          <w:szCs w:val="26"/>
        </w:rPr>
        <w:tab/>
        <w:t xml:space="preserve">Наличие </w:t>
      </w:r>
      <w:r>
        <w:rPr>
          <w:rFonts w:eastAsia="Calibri"/>
          <w:bCs/>
          <w:i/>
          <w:sz w:val="26"/>
          <w:szCs w:val="26"/>
        </w:rPr>
        <w:t xml:space="preserve">квалифицированных трудовых ресурсов (руководителей и ключевых специалистов) участника конкурса, предлагаемых для выполнения работ </w:t>
      </w:r>
      <w:r>
        <w:rPr>
          <w:i/>
          <w:sz w:val="26"/>
          <w:szCs w:val="26"/>
        </w:rPr>
        <w:t>– значимость показателя 50 %, коэффициент значимости 0,5.</w:t>
      </w:r>
    </w:p>
    <w:p>
      <w:pPr>
        <w:pStyle w:val="Normal"/>
        <w:keepNext/>
        <w:widowControl w:val="false"/>
        <w:suppressAutoHyphens w:val="true"/>
        <w:jc w:val="both"/>
        <w:rPr>
          <w:rFonts w:ascii="Times New Roman" w:hAnsi="Times New Roman"/>
          <w:sz w:val="26"/>
          <w:szCs w:val="26"/>
        </w:rPr>
      </w:pPr>
      <w:r>
        <w:rPr>
          <w:iCs/>
          <w:sz w:val="26"/>
          <w:szCs w:val="26"/>
        </w:rPr>
        <w:tab/>
        <w:t>В подтверждение указанных сведений участником конкурса могут быть представлены копии трудовых договоров и иных документов подтверждающие нахождение специалистов в штате</w:t>
      </w:r>
      <w:bookmarkStart w:id="0" w:name="_GoBack"/>
      <w:bookmarkEnd w:id="0"/>
      <w:r>
        <w:rPr>
          <w:iCs/>
          <w:sz w:val="26"/>
          <w:szCs w:val="26"/>
        </w:rPr>
        <w:t>, документов об образовании (подтверждающие образование специалистов), трудовых книжек (подтверждающие стаж работы по специальности).</w:t>
      </w:r>
    </w:p>
    <w:p>
      <w:pPr>
        <w:pStyle w:val="Normal"/>
        <w:keepNext/>
        <w:widowControl w:val="false"/>
        <w:suppressAutoHyphens w:val="true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iCs/>
          <w:sz w:val="26"/>
          <w:szCs w:val="26"/>
        </w:rPr>
        <w:t>При оценке заявок по показателю лучшим условием исполнения государственного контракта признается предложение участника конкурса с большим количеством привлекаемых специалистов, состоящих в штате участника конкурса, имеющих оконченное высшее образование по направлениям подготовки «экология и природопользование», «гидрометеорология», «картография», «геодезия» и стаж работы по специальности не менее 5 лет (с момента получения высшего образования).</w:t>
      </w:r>
    </w:p>
    <w:p>
      <w:pPr>
        <w:pStyle w:val="Normal"/>
        <w:widowControl w:val="false"/>
        <w:suppressAutoHyphens w:val="true"/>
        <w:ind w:left="0" w:firstLine="54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Cs/>
          <w:sz w:val="26"/>
          <w:szCs w:val="26"/>
        </w:rPr>
        <w:t>Сведения и документы, которые участник закупки может представить для подтверждения опыта работы, положениями Закона о контрактной системе не регламентированы.</w:t>
      </w:r>
    </w:p>
    <w:p>
      <w:pPr>
        <w:pStyle w:val="Normal"/>
        <w:widowControl w:val="false"/>
        <w:suppressAutoHyphens w:val="true"/>
        <w:ind w:left="0" w:firstLine="54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Cs/>
          <w:sz w:val="26"/>
          <w:szCs w:val="26"/>
        </w:rPr>
        <w:t>Таким образом, Заказчик вправе указать перечень сведений и документов, которыми Участник закупки может подтвердить свою квалификацию. Участник закупки по своему усмотрению может также представить и другие сведения, документы в составе заявки.</w:t>
      </w:r>
    </w:p>
    <w:p>
      <w:pPr>
        <w:pStyle w:val="Normal"/>
        <w:widowControl w:val="false"/>
        <w:suppressAutoHyphens w:val="true"/>
        <w:ind w:left="0" w:firstLine="540"/>
        <w:jc w:val="both"/>
        <w:rPr/>
      </w:pPr>
      <w:r>
        <w:rPr>
          <w:b w:val="false"/>
          <w:bCs w:val="false"/>
          <w:iCs/>
          <w:sz w:val="26"/>
          <w:szCs w:val="26"/>
        </w:rPr>
        <w:t>Рассмотрев Заявку Заявителя, Комиссия установила, что в составе заявки для оценки по критерию «</w:t>
      </w:r>
      <w:r>
        <w:rPr>
          <w:rFonts w:eastAsia="Calibri"/>
          <w:b w:val="false"/>
          <w:bCs w:val="false"/>
          <w:iCs/>
          <w:sz w:val="26"/>
          <w:szCs w:val="26"/>
        </w:rPr>
        <w:t>Квалификация участников закупки, в том числе наличие у них опыта работы, связанного с предметом контракта, специалистов и иных работников определенного уровня квалификации» отсутствуют  копии исполненных государственных контрактов,</w:t>
      </w:r>
      <w:r>
        <w:rPr>
          <w:rFonts w:eastAsia="Calibri"/>
          <w:b/>
          <w:bCs w:val="false"/>
          <w:iCs/>
          <w:sz w:val="26"/>
          <w:szCs w:val="26"/>
        </w:rPr>
        <w:t xml:space="preserve"> </w:t>
      </w:r>
      <w:r>
        <w:rPr>
          <w:rFonts w:eastAsia="Calibri"/>
          <w:b w:val="false"/>
          <w:bCs w:val="false"/>
          <w:iCs/>
          <w:sz w:val="26"/>
          <w:szCs w:val="26"/>
        </w:rPr>
        <w:t>включая все приложения к ним, отсутствуют  копии трудовых договоров и иных документов подтверждающие нахождение специалистов в штате, трудовых книжек (подтверждающие стаж работы по специальности).</w:t>
      </w:r>
    </w:p>
    <w:p>
      <w:pPr>
        <w:pStyle w:val="ConsPlusNormal"/>
        <w:widowControl w:val="false"/>
        <w:suppressAutoHyphens w:val="true"/>
        <w:ind w:left="0" w:firstLine="540"/>
        <w:jc w:val="both"/>
        <w:rPr/>
      </w:pPr>
      <w:r>
        <w:rPr>
          <w:rFonts w:eastAsia="Calibri" w:ascii="Times New Roman" w:hAnsi="Times New Roman"/>
          <w:b w:val="false"/>
          <w:bCs w:val="false"/>
          <w:iCs/>
          <w:sz w:val="26"/>
          <w:szCs w:val="26"/>
        </w:rPr>
        <w:t>Согласно протоколу рассмотрения и оценки заявок на участие в открытом конкурсе от 11.05.2016, конкурсная комиссия применила порядок оценки установленный в Конкурсной документации.</w:t>
      </w:r>
    </w:p>
    <w:p>
      <w:pPr>
        <w:pStyle w:val="ConsPlusNormal"/>
        <w:widowControl w:val="false"/>
        <w:suppressAutoHyphens w:val="true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/>
          <w:b w:val="false"/>
          <w:bCs w:val="false"/>
          <w:iCs/>
          <w:sz w:val="26"/>
          <w:szCs w:val="26"/>
        </w:rPr>
        <w:t xml:space="preserve">Кроме того,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6 статьи 106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рассмотрение жалобы не осуществляется в отношении результатов оценки заявок на </w:t>
      </w:r>
      <w:r>
        <w:rPr>
          <w:rFonts w:ascii="Times New Roman" w:hAnsi="Times New Roman"/>
          <w:b/>
          <w:bCs/>
          <w:sz w:val="26"/>
          <w:szCs w:val="26"/>
        </w:rPr>
        <w:t>участие в конкурсе</w:t>
      </w:r>
      <w:r>
        <w:rPr>
          <w:rFonts w:ascii="Times New Roman" w:hAnsi="Times New Roman"/>
          <w:sz w:val="26"/>
          <w:szCs w:val="26"/>
        </w:rPr>
        <w:t xml:space="preserve">, в запросе предложений, окончательных предложений в соответствии с указанными в </w:t>
      </w:r>
      <w:r>
        <w:rPr>
          <w:rFonts w:ascii="Times New Roman" w:hAnsi="Times New Roman"/>
          <w:color w:val="0000FF"/>
          <w:sz w:val="26"/>
          <w:szCs w:val="26"/>
        </w:rPr>
        <w:t>пунктах 3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color w:val="0000FF"/>
          <w:sz w:val="26"/>
          <w:szCs w:val="26"/>
        </w:rPr>
        <w:t>4 части 1 статьи 32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критериями оценки этих заявок, окончательных предложений.</w:t>
      </w:r>
    </w:p>
    <w:p>
      <w:pPr>
        <w:pStyle w:val="ConsPlusNormal"/>
        <w:widowControl w:val="false"/>
        <w:suppressAutoHyphens w:val="true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изложенным Комиссия Ненецкого УФАС России пришла к выводу о том, что порядок рассмотрения заявок на участие в открытом конкурсе соответствует требованиям </w:t>
      </w:r>
      <w:r>
        <w:rPr>
          <w:rFonts w:ascii="Times New Roman" w:hAnsi="Times New Roman"/>
          <w:color w:val="0000FF"/>
          <w:sz w:val="26"/>
          <w:szCs w:val="26"/>
        </w:rPr>
        <w:t>Закона</w:t>
      </w:r>
      <w:r>
        <w:rPr>
          <w:rFonts w:ascii="Times New Roman" w:hAnsi="Times New Roman"/>
          <w:sz w:val="26"/>
          <w:szCs w:val="26"/>
        </w:rPr>
        <w:t xml:space="preserve"> о контрактной системе.</w:t>
      </w:r>
    </w:p>
    <w:p>
      <w:pPr>
        <w:pStyle w:val="ConsPlusNormal"/>
        <w:ind w:left="0" w:firstLine="5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изложенного, в результате проведенной внеплановой проверки, руководствуясь </w:t>
      </w:r>
      <w:r>
        <w:rPr>
          <w:rFonts w:ascii="Times New Roman" w:hAnsi="Times New Roman"/>
          <w:color w:val="0000FF"/>
          <w:sz w:val="26"/>
          <w:szCs w:val="26"/>
        </w:rPr>
        <w:t>частью 8 статьи 106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</w:rPr>
        <w:t xml:space="preserve"> Комиссия</w:t>
      </w:r>
      <w:r>
        <w:rPr>
          <w:sz w:val="26"/>
          <w:szCs w:val="26"/>
        </w:rPr>
        <w:t>,</w:t>
      </w:r>
    </w:p>
    <w:p>
      <w:pPr>
        <w:pStyle w:val="Normal"/>
        <w:ind w:left="0" w:right="0" w:firstLine="5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pStyle w:val="Normal"/>
        <w:ind w:left="0" w:right="0" w:firstLine="5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Признать жалобу заявителя необоснованной.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ConsPlusNormal"/>
        <w:ind w:left="0" w:right="0" w:firstLine="540"/>
        <w:jc w:val="both"/>
        <w:rPr>
          <w:rFonts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Настоящее решение может быть обжаловано в Арбитражный суд Архангельской области в течение трех месяцев со дня его принятия. </w:t>
      </w:r>
    </w:p>
    <w:p>
      <w:pPr>
        <w:pStyle w:val="Normal"/>
        <w:rPr>
          <w:rFonts w:cs="Times New Roman"/>
          <w:i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</w:r>
    </w:p>
    <w:p>
      <w:pPr>
        <w:pStyle w:val="Normal"/>
        <w:rPr>
          <w:rFonts w:cs="Times New Roman"/>
          <w:i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Председатель Комиссии:     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175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Члены Комиссии:                                                                           </w:t>
      </w:r>
    </w:p>
    <w:p>
      <w:pPr>
        <w:pStyle w:val="Normal"/>
        <w:rPr/>
      </w:pPr>
      <w:bookmarkStart w:id="1" w:name="Par10"/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</w:t>
      </w:r>
    </w:p>
    <w:sectPr>
      <w:headerReference w:type="default" r:id="rId4"/>
      <w:headerReference w:type="first" r:id="rId5"/>
      <w:type w:val="nextPage"/>
      <w:pgSz w:w="11906" w:h="16838"/>
      <w:pgMar w:left="1800" w:right="746" w:header="708" w:top="1079" w:footer="0" w:bottom="899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31pt;margin-top:0.05pt;width:5.9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280" w:after="280"/>
      <w:outlineLvl w:val="1"/>
      <w:outlineLvl w:val="1"/>
    </w:pPr>
    <w:rPr>
      <w:rFonts w:ascii="Calibri" w:hAnsi="Calibri" w:eastAsia="Calibri" w:cs="Calibri"/>
      <w:b/>
      <w:bCs/>
      <w:sz w:val="36"/>
      <w:szCs w:val="36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Calibri" w:cs="Times New Roman"/>
      <w:bCs/>
      <w:sz w:val="26"/>
      <w:szCs w:val="26"/>
      <w:highlight w:val="yellow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  <w:i w:val="false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cs="Times New Roman"/>
    </w:rPr>
  </w:style>
  <w:style w:type="character" w:styleId="WW8Num21z0">
    <w:name w:val="WW8Num21z0"/>
    <w:qFormat/>
    <w:rPr>
      <w:rFonts w:ascii="Times New Roman" w:hAnsi="Times New Roman" w:eastAsia="Calibri" w:cs="Times New Roman"/>
      <w:bCs/>
      <w:sz w:val="26"/>
      <w:szCs w:val="26"/>
      <w:highlight w:val="yellow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cs="Times New Roman"/>
      <w:i w:val="false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1">
    <w:name w:val="Основной шрифт абзаца1"/>
    <w:qFormat/>
    <w:rPr/>
  </w:style>
  <w:style w:type="character" w:styleId="Style13">
    <w:name w:val="Верхний колонтитул Знак"/>
    <w:qFormat/>
    <w:rPr>
      <w:rFonts w:ascii="Times New Roman" w:hAnsi="Times New Roman" w:cs="Times New Roman"/>
      <w:sz w:val="20"/>
      <w:szCs w:val="20"/>
    </w:rPr>
  </w:style>
  <w:style w:type="character" w:styleId="Style14">
    <w:name w:val="Номер страницы"/>
    <w:rPr>
      <w:rFonts w:cs="Times New Roman"/>
    </w:rPr>
  </w:style>
  <w:style w:type="character" w:styleId="Style15">
    <w:name w:val="Интернет-ссылка"/>
    <w:rPr>
      <w:rFonts w:cs="Times New Roman"/>
      <w:color w:val="0000FF"/>
      <w:u w:val="single"/>
    </w:rPr>
  </w:style>
  <w:style w:type="character" w:styleId="Style16">
    <w:name w:val="Нижний колонтитул Знак"/>
    <w:qFormat/>
    <w:rPr>
      <w:rFonts w:ascii="Times New Roman" w:hAnsi="Times New Roman" w:cs="Times New Roman"/>
      <w:sz w:val="20"/>
      <w:szCs w:val="20"/>
    </w:rPr>
  </w:style>
  <w:style w:type="character" w:styleId="Style17">
    <w:name w:val="Выделение жирным"/>
    <w:qFormat/>
    <w:rPr>
      <w:b/>
      <w:bCs/>
    </w:rPr>
  </w:style>
  <w:style w:type="character" w:styleId="Iceouttxt4">
    <w:name w:val="iceouttxt4"/>
    <w:basedOn w:val="1"/>
    <w:qFormat/>
    <w:rPr/>
  </w:style>
  <w:style w:type="character" w:styleId="Iceouttxt1">
    <w:name w:val="iceouttxt1"/>
    <w:qFormat/>
    <w:rPr>
      <w:rFonts w:ascii="Arial" w:hAnsi="Arial" w:cs="Arial"/>
      <w:color w:val="000000"/>
      <w:sz w:val="17"/>
      <w:szCs w:val="17"/>
    </w:rPr>
  </w:style>
  <w:style w:type="character" w:styleId="21">
    <w:name w:val="Заголовок 2 Знак"/>
    <w:qFormat/>
    <w:rPr>
      <w:b/>
      <w:bCs/>
      <w:sz w:val="36"/>
      <w:szCs w:val="36"/>
      <w:lang w:val="ru-RU" w:bidi="ar-SA"/>
    </w:rPr>
  </w:style>
  <w:style w:type="character" w:styleId="22">
    <w:name w:val="Основной текст с отступом 2 Знак"/>
    <w:qFormat/>
    <w:rPr>
      <w:sz w:val="24"/>
      <w:szCs w:val="24"/>
      <w:lang w:val="ru-RU" w:bidi="ar-SA"/>
    </w:rPr>
  </w:style>
  <w:style w:type="character" w:styleId="Appleconvertedspace">
    <w:name w:val="apple-converted-space"/>
    <w:basedOn w:val="1"/>
    <w:qFormat/>
    <w:rPr/>
  </w:style>
  <w:style w:type="character" w:styleId="Spellcheckerwordhighlight">
    <w:name w:val="spellchecker-word-highlight"/>
    <w:basedOn w:val="1"/>
    <w:qFormat/>
    <w:rPr/>
  </w:style>
  <w:style w:type="character" w:styleId="Blk">
    <w:name w:val="blk"/>
    <w:basedOn w:val="1"/>
    <w:qFormat/>
    <w:rPr/>
  </w:style>
  <w:style w:type="character" w:styleId="Style18">
    <w:name w:val="Символы концевой сноски"/>
    <w:qFormat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Style25">
    <w:name w:val="Header"/>
    <w:basedOn w:val="Normal"/>
    <w:pPr/>
    <w:rPr>
      <w:rFonts w:eastAsia="Calibri"/>
      <w:lang w:val="ru-RU"/>
    </w:rPr>
  </w:style>
  <w:style w:type="paragraph" w:styleId="Style26">
    <w:name w:val="Адресат вверху"/>
    <w:basedOn w:val="Normal"/>
    <w:qFormat/>
    <w:pPr>
      <w:suppressAutoHyphens w:val="true"/>
      <w:jc w:val="both"/>
    </w:pPr>
    <w:rPr>
      <w:b/>
      <w:sz w:val="24"/>
    </w:rPr>
  </w:style>
  <w:style w:type="paragraph" w:styleId="Style27">
    <w:name w:val="Абзац списка"/>
    <w:basedOn w:val="Normal"/>
    <w:qFormat/>
    <w:pPr>
      <w:spacing w:before="0" w:after="0"/>
      <w:ind w:left="720" w:right="0" w:hanging="0"/>
      <w:contextualSpacing/>
      <w:jc w:val="both"/>
    </w:pPr>
    <w:rPr>
      <w:sz w:val="24"/>
      <w:szCs w:val="22"/>
    </w:rPr>
  </w:style>
  <w:style w:type="paragraph" w:styleId="Style28">
    <w:name w:val="Без интервала"/>
    <w:qFormat/>
    <w:pPr>
      <w:widowControl/>
      <w:suppressAutoHyphens w:val="true"/>
      <w:bidi w:val="0"/>
      <w:ind w:left="0" w:right="0" w:firstLine="709"/>
      <w:jc w:val="both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Style29">
    <w:name w:val="Footer"/>
    <w:basedOn w:val="Normal"/>
    <w:pPr/>
    <w:rPr>
      <w:rFonts w:eastAsia="Calibri"/>
      <w:lang w:val="ru-RU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Msonormalcxspmiddle">
    <w:name w:val="msonormalcxspmiddle"/>
    <w:basedOn w:val="Normal"/>
    <w:qFormat/>
    <w:pPr>
      <w:spacing w:before="280" w:after="280"/>
    </w:pPr>
    <w:rPr>
      <w:rFonts w:eastAsia="Calibri"/>
      <w:sz w:val="24"/>
      <w:szCs w:val="24"/>
    </w:rPr>
  </w:style>
  <w:style w:type="paragraph" w:styleId="Style31">
    <w:name w:val="Обычный (веб)"/>
    <w:basedOn w:val="Normal"/>
    <w:qFormat/>
    <w:pPr/>
    <w:rPr>
      <w:sz w:val="24"/>
      <w:szCs w:val="24"/>
    </w:rPr>
  </w:style>
  <w:style w:type="paragraph" w:styleId="Parameter">
    <w:name w:val="parameter"/>
    <w:basedOn w:val="Normal"/>
    <w:qFormat/>
    <w:pPr>
      <w:spacing w:before="280" w:after="280"/>
    </w:pPr>
    <w:rPr>
      <w:sz w:val="24"/>
      <w:szCs w:val="24"/>
    </w:rPr>
  </w:style>
  <w:style w:type="paragraph" w:styleId="Parametervalue">
    <w:name w:val="parametervalue"/>
    <w:basedOn w:val="Normal"/>
    <w:qFormat/>
    <w:pPr>
      <w:spacing w:before="280" w:after="280"/>
    </w:pPr>
    <w:rPr>
      <w:sz w:val="24"/>
      <w:szCs w:val="24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rFonts w:ascii="Calibri" w:hAnsi="Calibri" w:eastAsia="Calibri" w:cs="Calibri"/>
      <w:sz w:val="24"/>
      <w:szCs w:val="24"/>
    </w:rPr>
  </w:style>
  <w:style w:type="paragraph" w:styleId="20">
    <w:name w:val="20"/>
    <w:basedOn w:val="Normal"/>
    <w:qFormat/>
    <w:pPr>
      <w:spacing w:before="280" w:after="280"/>
    </w:pPr>
    <w:rPr>
      <w:rFonts w:eastAsia="Calibri"/>
      <w:sz w:val="24"/>
      <w:szCs w:val="24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Содержимое врезки"/>
    <w:basedOn w:val="Normal"/>
    <w:qFormat/>
    <w:pPr/>
    <w:rPr/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6"/>
      <w:szCs w:val="24"/>
      <w:u w:val="none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zakupki.g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LibreOffice/5.1.2.2$Windows_X86_64 LibreOffice_project/d3bf12ecb743fc0d20e0be0c58ca359301eb705f</Application>
  <Pages>5</Pages>
  <Words>1418</Words>
  <Characters>9793</Characters>
  <CharactersWithSpaces>11538</CharactersWithSpaces>
  <Paragraphs>71</Paragraphs>
  <Company>КонсультантПлюс Версия 4015.00.08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2016-05-24T14:14:00Z</dcterms:created>
  <dc:creator>user</dc:creator>
  <dc:description/>
  <dc:language>ru-RU</dc:language>
  <cp:lastModifiedBy/>
  <cp:lastPrinted>2016-05-25T13:45:59Z</cp:lastPrinted>
  <dcterms:modified xsi:type="dcterms:W3CDTF">2016-05-25T13:48:19Z</dcterms:modified>
  <cp:revision>10</cp:revision>
  <dc:subject/>
  <dc:title>Решение Красноярского УФАС России от 09.03.2016 N 244Суть жалобы: Конкурсная комиссия нарушила порядок рассмотрения и оценки заявок.Решение: Жалоба признана необоснованной, так как порядок рассмотрения заявок на участие в открытом конкурсе соответствует требованиям Закона о контрактной системе.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