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FA" w:rsidRPr="00097001" w:rsidRDefault="00105BFA" w:rsidP="00105BFA">
      <w:pPr>
        <w:rPr>
          <w:b/>
        </w:rPr>
      </w:pPr>
      <w:r w:rsidRPr="00097001">
        <w:rPr>
          <w:b/>
        </w:rPr>
        <w:t>СЛУЖЕБНАЯ ЗАПИСКА</w:t>
      </w:r>
    </w:p>
    <w:p w:rsidR="00105BFA" w:rsidRPr="00097001" w:rsidRDefault="00105BFA" w:rsidP="00105BFA">
      <w:pPr>
        <w:rPr>
          <w:color w:val="FFFFFF"/>
        </w:rPr>
      </w:pPr>
      <w:r w:rsidRPr="00097001">
        <w:rPr>
          <w:color w:val="FFFFFF"/>
          <w:highlight w:val="black"/>
        </w:rPr>
        <w:t>Управление Федеральной антимонопольной службы по Ненецкому автономному округу</w:t>
      </w:r>
      <w:r w:rsidRPr="00097001">
        <w:rPr>
          <w:color w:val="FFFFFF"/>
        </w:rPr>
        <w:t>\</w:t>
      </w:r>
    </w:p>
    <w:p w:rsidR="00105BFA" w:rsidRPr="00097001" w:rsidRDefault="00105BFA" w:rsidP="00105BFA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4844"/>
      </w:tblGrid>
      <w:tr w:rsidR="00105BFA" w:rsidRPr="00097001" w:rsidTr="007E55B8">
        <w:trPr>
          <w:trHeight w:val="3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105BFA" w:rsidP="007E55B8">
            <w:r w:rsidRPr="00097001">
              <w:t>Кому: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3766B8" w:rsidP="007E55B8">
            <w:r>
              <w:t>Руководителю Управления</w:t>
            </w:r>
          </w:p>
        </w:tc>
      </w:tr>
      <w:tr w:rsidR="00105BFA" w:rsidRPr="00097001" w:rsidTr="007E55B8">
        <w:trPr>
          <w:trHeight w:val="6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105BFA" w:rsidP="007E55B8">
            <w:r w:rsidRPr="00097001">
              <w:t>От кого: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99431F" w:rsidP="003766B8">
            <w:r w:rsidRPr="00097001">
              <w:t>Главного с</w:t>
            </w:r>
            <w:r w:rsidR="00105BFA" w:rsidRPr="00097001">
              <w:t>пециалист</w:t>
            </w:r>
            <w:r w:rsidRPr="00097001">
              <w:t xml:space="preserve">а </w:t>
            </w:r>
            <w:r w:rsidR="003766B8">
              <w:t>Управления</w:t>
            </w:r>
          </w:p>
        </w:tc>
      </w:tr>
      <w:tr w:rsidR="00105BFA" w:rsidRPr="00097001" w:rsidTr="007E55B8">
        <w:trPr>
          <w:trHeight w:val="3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105BFA" w:rsidP="007E55B8">
            <w:r w:rsidRPr="00097001">
              <w:t>Дата: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99431F" w:rsidP="0099431F">
            <w:r w:rsidRPr="00097001">
              <w:t>30</w:t>
            </w:r>
            <w:r w:rsidR="00105BFA" w:rsidRPr="00097001">
              <w:t>.</w:t>
            </w:r>
            <w:r w:rsidRPr="00097001">
              <w:t>05</w:t>
            </w:r>
            <w:r w:rsidR="00105BFA" w:rsidRPr="00097001">
              <w:t>.201</w:t>
            </w:r>
            <w:r w:rsidRPr="00097001">
              <w:t>4</w:t>
            </w:r>
            <w:r w:rsidR="00105BFA" w:rsidRPr="00097001">
              <w:t xml:space="preserve"> г</w:t>
            </w:r>
          </w:p>
        </w:tc>
      </w:tr>
      <w:tr w:rsidR="00105BFA" w:rsidRPr="00097001" w:rsidTr="007E55B8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105BFA" w:rsidP="007E55B8">
            <w:r w:rsidRPr="00097001">
              <w:t>Тема: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97001" w:rsidRDefault="00105BFA" w:rsidP="007E55B8">
            <w:r w:rsidRPr="00097001">
              <w:t>Аналитический отчет</w:t>
            </w:r>
          </w:p>
        </w:tc>
      </w:tr>
    </w:tbl>
    <w:p w:rsidR="00E21C5E" w:rsidRPr="00097001" w:rsidRDefault="00E21C5E" w:rsidP="003E273B">
      <w:pPr>
        <w:spacing w:line="276" w:lineRule="auto"/>
        <w:ind w:firstLine="709"/>
        <w:jc w:val="both"/>
        <w:rPr>
          <w:b/>
        </w:rPr>
      </w:pPr>
    </w:p>
    <w:p w:rsidR="00E21C5E" w:rsidRPr="00097001" w:rsidRDefault="00E21C5E" w:rsidP="003E273B">
      <w:pPr>
        <w:spacing w:line="276" w:lineRule="auto"/>
        <w:ind w:firstLine="709"/>
        <w:jc w:val="both"/>
        <w:rPr>
          <w:b/>
        </w:rPr>
      </w:pPr>
    </w:p>
    <w:p w:rsidR="00E21C5E" w:rsidRPr="00097001" w:rsidRDefault="00E21C5E" w:rsidP="003E273B">
      <w:pPr>
        <w:spacing w:line="276" w:lineRule="auto"/>
        <w:ind w:firstLine="709"/>
        <w:jc w:val="both"/>
        <w:rPr>
          <w:b/>
        </w:rPr>
      </w:pPr>
    </w:p>
    <w:p w:rsidR="004131D0" w:rsidRPr="00097001" w:rsidRDefault="004131D0" w:rsidP="00E101FD">
      <w:pPr>
        <w:spacing w:line="276" w:lineRule="auto"/>
        <w:jc w:val="both"/>
        <w:rPr>
          <w:b/>
        </w:rPr>
      </w:pPr>
    </w:p>
    <w:p w:rsidR="00A93A02" w:rsidRPr="00097001" w:rsidRDefault="0078749D" w:rsidP="002116FC">
      <w:pPr>
        <w:spacing w:line="276" w:lineRule="auto"/>
        <w:ind w:firstLine="709"/>
        <w:jc w:val="center"/>
        <w:rPr>
          <w:b/>
        </w:rPr>
      </w:pPr>
      <w:r w:rsidRPr="00097001">
        <w:rPr>
          <w:b/>
        </w:rPr>
        <w:t>Аналитический отчет</w:t>
      </w:r>
      <w:r w:rsidR="00A93A02" w:rsidRPr="00097001">
        <w:rPr>
          <w:b/>
        </w:rPr>
        <w:t xml:space="preserve"> состояния конкуренции</w:t>
      </w:r>
    </w:p>
    <w:p w:rsidR="00A93A02" w:rsidRPr="00097001" w:rsidRDefault="00F05D67" w:rsidP="002116FC">
      <w:pPr>
        <w:spacing w:line="276" w:lineRule="auto"/>
        <w:ind w:firstLine="709"/>
        <w:jc w:val="center"/>
        <w:rPr>
          <w:b/>
        </w:rPr>
      </w:pPr>
      <w:r w:rsidRPr="00097001">
        <w:rPr>
          <w:b/>
        </w:rPr>
        <w:t xml:space="preserve">на розничных рынках бензинов автомобильных </w:t>
      </w:r>
    </w:p>
    <w:p w:rsidR="00A93A02" w:rsidRPr="00097001" w:rsidRDefault="00A93A02" w:rsidP="003E273B">
      <w:pPr>
        <w:spacing w:line="276" w:lineRule="auto"/>
        <w:ind w:firstLine="709"/>
        <w:jc w:val="both"/>
        <w:rPr>
          <w:b/>
        </w:rPr>
      </w:pPr>
    </w:p>
    <w:p w:rsidR="00A93A02" w:rsidRPr="00097001" w:rsidRDefault="004F06B5" w:rsidP="004F06B5">
      <w:pPr>
        <w:spacing w:line="276" w:lineRule="auto"/>
        <w:jc w:val="center"/>
        <w:rPr>
          <w:b/>
        </w:rPr>
      </w:pPr>
      <w:r w:rsidRPr="00097001">
        <w:rPr>
          <w:b/>
        </w:rPr>
        <w:t>Общие положения</w:t>
      </w:r>
    </w:p>
    <w:p w:rsidR="009F25B8" w:rsidRPr="00097001" w:rsidRDefault="009F25B8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</w:p>
    <w:p w:rsidR="009F25B8" w:rsidRPr="00097001" w:rsidRDefault="00A93A02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  <w:r w:rsidRPr="00097001">
        <w:t>Целью прове</w:t>
      </w:r>
      <w:r w:rsidR="00F05D67" w:rsidRPr="00097001">
        <w:t>дения  данного анализа состояния конкурентной среды на розничных рынках бензина автомобильного является установление доминирующего положения ВИНК на региональных рынках, а также унификация методов анализа с учетом проведенного обобщения лучших практик территориальных органов ФАС России.</w:t>
      </w:r>
    </w:p>
    <w:p w:rsidR="009F25B8" w:rsidRPr="00097001" w:rsidRDefault="009F25B8" w:rsidP="003E27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7001">
        <w:t>Анализ проводился в соответствии с требованиями Порядка проведения ан</w:t>
      </w:r>
      <w:r w:rsidRPr="00097001">
        <w:t>а</w:t>
      </w:r>
      <w:r w:rsidRPr="00097001">
        <w:t>лиза состояния конкуренции на товарном рынке, утвержденного приказом ФАС России от 28.04.2010 № 220 (далее по тексту – Порядок)</w:t>
      </w:r>
    </w:p>
    <w:p w:rsidR="009F25B8" w:rsidRPr="00097001" w:rsidRDefault="009F25B8" w:rsidP="003E273B">
      <w:pPr>
        <w:pStyle w:val="20"/>
        <w:spacing w:line="276" w:lineRule="auto"/>
        <w:ind w:firstLine="709"/>
        <w:rPr>
          <w:b/>
          <w:bCs/>
        </w:rPr>
      </w:pPr>
    </w:p>
    <w:p w:rsidR="009F25B8" w:rsidRPr="00097001" w:rsidRDefault="009F25B8" w:rsidP="004F06B5">
      <w:pPr>
        <w:pStyle w:val="20"/>
        <w:spacing w:line="276" w:lineRule="auto"/>
        <w:ind w:firstLine="709"/>
        <w:jc w:val="center"/>
        <w:rPr>
          <w:b/>
          <w:bCs/>
        </w:rPr>
      </w:pPr>
      <w:r w:rsidRPr="00097001">
        <w:rPr>
          <w:b/>
          <w:bCs/>
        </w:rPr>
        <w:t>Источники исходной информации</w:t>
      </w:r>
    </w:p>
    <w:p w:rsidR="009F25B8" w:rsidRPr="00097001" w:rsidRDefault="009F25B8" w:rsidP="003E273B">
      <w:pPr>
        <w:pStyle w:val="20"/>
        <w:spacing w:line="276" w:lineRule="auto"/>
        <w:ind w:firstLine="709"/>
      </w:pPr>
    </w:p>
    <w:p w:rsidR="009F25B8" w:rsidRPr="00097001" w:rsidRDefault="009F25B8" w:rsidP="003E273B">
      <w:pPr>
        <w:pStyle w:val="20"/>
        <w:spacing w:line="276" w:lineRule="auto"/>
        <w:ind w:firstLine="709"/>
      </w:pPr>
      <w:r w:rsidRPr="00097001">
        <w:t>В качестве источников исходной информации при проведении анализа и</w:t>
      </w:r>
      <w:r w:rsidRPr="00097001">
        <w:t>с</w:t>
      </w:r>
      <w:r w:rsidRPr="00097001">
        <w:t>пользованы:</w:t>
      </w:r>
    </w:p>
    <w:p w:rsidR="00D23D93" w:rsidRPr="00097001" w:rsidRDefault="00D23D93" w:rsidP="003E273B">
      <w:pPr>
        <w:pStyle w:val="20"/>
        <w:spacing w:line="276" w:lineRule="auto"/>
        <w:ind w:firstLine="709"/>
      </w:pPr>
      <w:r w:rsidRPr="00097001">
        <w:t xml:space="preserve">- статистические данные; </w:t>
      </w:r>
    </w:p>
    <w:p w:rsidR="00D23D93" w:rsidRPr="00097001" w:rsidRDefault="00D23D93" w:rsidP="003E273B">
      <w:pPr>
        <w:pStyle w:val="20"/>
        <w:spacing w:line="276" w:lineRule="auto"/>
        <w:ind w:firstLine="709"/>
      </w:pPr>
      <w:r w:rsidRPr="00097001">
        <w:t>- данные мониторинга</w:t>
      </w:r>
      <w:r w:rsidR="002116FC" w:rsidRPr="00097001">
        <w:t xml:space="preserve"> оптовых и розничных цен на нефтепродукты</w:t>
      </w:r>
      <w:r w:rsidRPr="00097001">
        <w:t>;</w:t>
      </w:r>
    </w:p>
    <w:p w:rsidR="00114427" w:rsidRPr="00097001" w:rsidRDefault="009F25B8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  <w:r w:rsidRPr="00097001">
        <w:lastRenderedPageBreak/>
        <w:t>-</w:t>
      </w:r>
      <w:r w:rsidR="00114427" w:rsidRPr="00097001">
        <w:t xml:space="preserve">  информация, полученная от хозяйствующ</w:t>
      </w:r>
      <w:r w:rsidR="00F05D67" w:rsidRPr="00097001">
        <w:t>их субъектов</w:t>
      </w:r>
      <w:r w:rsidR="00114427" w:rsidRPr="00097001">
        <w:t>, действующ</w:t>
      </w:r>
      <w:r w:rsidR="00F05D67" w:rsidRPr="00097001">
        <w:t>их</w:t>
      </w:r>
      <w:r w:rsidR="00114427" w:rsidRPr="00097001">
        <w:t xml:space="preserve"> на </w:t>
      </w:r>
      <w:r w:rsidR="00F05D67" w:rsidRPr="00097001">
        <w:t xml:space="preserve">данном </w:t>
      </w:r>
      <w:r w:rsidR="00114427" w:rsidRPr="00097001">
        <w:t xml:space="preserve">рынке </w:t>
      </w:r>
      <w:r w:rsidR="006F7081" w:rsidRPr="00097001">
        <w:t>в границах Ненецкого АО</w:t>
      </w:r>
      <w:r w:rsidR="003766B8">
        <w:t>.</w:t>
      </w:r>
    </w:p>
    <w:p w:rsidR="009F25B8" w:rsidRPr="00097001" w:rsidRDefault="009F25B8" w:rsidP="003E273B">
      <w:pPr>
        <w:spacing w:line="276" w:lineRule="auto"/>
        <w:ind w:firstLine="709"/>
        <w:jc w:val="both"/>
      </w:pPr>
    </w:p>
    <w:p w:rsidR="009B0907" w:rsidRPr="00097001" w:rsidRDefault="009B0907" w:rsidP="003E273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114427" w:rsidRPr="00097001" w:rsidRDefault="00114427" w:rsidP="004F06B5">
      <w:pPr>
        <w:spacing w:line="276" w:lineRule="auto"/>
        <w:ind w:firstLine="709"/>
        <w:jc w:val="center"/>
        <w:rPr>
          <w:b/>
        </w:rPr>
      </w:pPr>
      <w:r w:rsidRPr="00097001">
        <w:rPr>
          <w:b/>
          <w:bCs/>
        </w:rPr>
        <w:t>Временной интервал исследования рынка</w:t>
      </w:r>
    </w:p>
    <w:p w:rsidR="0011077B" w:rsidRPr="00097001" w:rsidRDefault="0011077B" w:rsidP="003E273B">
      <w:pPr>
        <w:spacing w:line="276" w:lineRule="auto"/>
        <w:ind w:firstLine="709"/>
        <w:jc w:val="both"/>
        <w:rPr>
          <w:iCs/>
        </w:rPr>
      </w:pPr>
    </w:p>
    <w:p w:rsidR="00A93A02" w:rsidRPr="00097001" w:rsidRDefault="006F7081" w:rsidP="003E273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97001">
        <w:rPr>
          <w:iCs/>
        </w:rPr>
        <w:t xml:space="preserve">Так как исследование носит ретроспективный характер, целесообразно определить временной интервал исследования как </w:t>
      </w:r>
      <w:r w:rsidR="0099431F" w:rsidRPr="00097001">
        <w:rPr>
          <w:iCs/>
        </w:rPr>
        <w:t>01.04.2013 – 01.04.2014 гг.</w:t>
      </w:r>
    </w:p>
    <w:p w:rsidR="00A93A02" w:rsidRPr="00097001" w:rsidRDefault="00A93A02" w:rsidP="004F06B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097001">
        <w:rPr>
          <w:b/>
          <w:bCs/>
        </w:rPr>
        <w:t>Определение</w:t>
      </w:r>
      <w:r w:rsidRPr="00097001">
        <w:rPr>
          <w:b/>
        </w:rPr>
        <w:t xml:space="preserve"> продуктовых границ товарного рынка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Предварительное определение товара – автомобильные бензины.</w:t>
      </w:r>
    </w:p>
    <w:p w:rsidR="00EA223E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Согласно Общероссийскому классификатору видов экономической</w:t>
      </w:r>
      <w:r w:rsidR="004F06B5" w:rsidRPr="00097001">
        <w:t xml:space="preserve"> </w:t>
      </w:r>
      <w:r w:rsidRPr="00097001">
        <w:t>деятельности, принятому Постановлением Государственного комитета Российской Федерации по стандартизации и метрологии от 06.11.2001 №454-ст, розничная торговля автомобильными бензинами классифицирована в группе 50.50 «Розничная торговля моторным топливом».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Бензины предназначены для поршневых двигателей внутреннего сгорания с</w:t>
      </w:r>
      <w:r w:rsidR="004F06B5" w:rsidRPr="00097001">
        <w:t xml:space="preserve"> </w:t>
      </w:r>
      <w:r w:rsidRPr="00097001">
        <w:t>принудительным воспламенением (от искры). ГОСТ по автомобильным бензинам определяют область применения автомобильных бензинов как моторное топливо для бензиновых двигателей (ГОСТ Р 51866-2002: «Настоящий стандарт распространяется на неэтилированные бензины, предназначенные для использования в качестве моторного топлива на транспортных средствах с бензиновыми двигателями...»).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В настоящее время в Российской Федерации производятся и реализуются</w:t>
      </w:r>
      <w:r w:rsidR="004F06B5" w:rsidRPr="00097001">
        <w:t xml:space="preserve"> </w:t>
      </w:r>
      <w:r w:rsidRPr="00097001">
        <w:t>четыре основных вида автомобильных бензинов, предназначенных для</w:t>
      </w:r>
      <w:r w:rsidR="004F06B5" w:rsidRPr="00097001">
        <w:t xml:space="preserve"> </w:t>
      </w:r>
      <w:r w:rsidRPr="00097001">
        <w:t>использования в качестве моторного топлива на транспортных средствах с</w:t>
      </w:r>
      <w:r w:rsidR="004F06B5" w:rsidRPr="00097001">
        <w:t xml:space="preserve"> </w:t>
      </w:r>
      <w:r w:rsidRPr="00097001">
        <w:t>бензиновыми двигателями: А-76 (ГОСТ 2084-77), АИ-92 (ГОСТ 2084-77, ГОСТ Р51105-97, ТУ 38.001165-2003, ГОСТ Р 51313-99), АИ-95 (ГОСТ 2084-77, ГОСТ Р51105-97, ГОСТ Р 51313-99), АИ-98 (ГОСТ Р 51313-99).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Вместе с тем распространены также бензины иных марок: Нормаль-80 (ГОСТ</w:t>
      </w:r>
      <w:r w:rsidR="004F06B5" w:rsidRPr="00097001">
        <w:t xml:space="preserve"> </w:t>
      </w:r>
      <w:r w:rsidRPr="00097001">
        <w:t>Р 51105-97), АИ-80 (ТУ 38.001165-2003), Регуляр-91 (ГОСТ Р 51105-97), Премиум-95 (ГОСТ Р 51105-97), АИ-96 (ТУ 38.001165-2003), Супер-98 (ГОСТ Р 51105-97),Премиум Евро-95 и Супер Евро-98 (ГОСТ Р 51866-2002), Регуляр Евро-92 (ГОСТ Р 51866-2002) и другие.</w:t>
      </w:r>
      <w:r w:rsidR="004F06B5" w:rsidRPr="00097001">
        <w:t xml:space="preserve"> </w:t>
      </w:r>
      <w:r w:rsidRPr="00097001">
        <w:t>Спецификация топлива, которое допустимо применять в конкретных</w:t>
      </w:r>
      <w:r w:rsidR="004F06B5" w:rsidRPr="00097001">
        <w:t xml:space="preserve"> </w:t>
      </w:r>
      <w:r w:rsidRPr="00097001">
        <w:t>бензиновых двигателях, определяется производителем двигателей. В технических паспортах (инструкциях по эксплуатации) автомобилей приводятся физико-химические эксплуатационные показатели бензинов, исходя из которых, пользователь автомобиля определяет соответствующую марку бензина для использования в качестве моторного топлива.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На практике единственным существенным показателем, классифицирующим</w:t>
      </w:r>
      <w:r w:rsidR="004F06B5" w:rsidRPr="00097001">
        <w:t xml:space="preserve"> </w:t>
      </w:r>
      <w:r w:rsidRPr="00097001">
        <w:t>автомобильные бензины, является октановое число моторного топлива (далее – ОЧ). По ОЧ автомобильные бензины разделяются на две подгруппы, что и является существенным различием: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</w:t>
      </w:r>
      <w:r w:rsidRPr="00097001">
        <w:t>низкооктановые бензины – А-76, АИ-80, Нормаль-80 (ОЧ 76,0 по моторному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методу и 80,0 по исследовательскому методу);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lastRenderedPageBreak/>
        <w:t></w:t>
      </w:r>
      <w:r w:rsidRPr="00097001">
        <w:t>высокооктановые бензины – Регуляр-91, АИ-92, АИ-96, Супер-98, Премиум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Евро-95, Супер Евро-98, Регуляр Евро-92 и другие (ОЧ 82,5 – 88 по моторному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  <w:r w:rsidRPr="00097001">
        <w:t>методу, 91 - 98 по исследовательскому методу).</w:t>
      </w:r>
    </w:p>
    <w:p w:rsidR="00A76436" w:rsidRPr="00097001" w:rsidRDefault="0099431F" w:rsidP="00846D96">
      <w:pPr>
        <w:autoSpaceDE w:val="0"/>
        <w:autoSpaceDN w:val="0"/>
        <w:adjustRightInd w:val="0"/>
        <w:ind w:firstLine="709"/>
        <w:jc w:val="both"/>
      </w:pPr>
      <w:r w:rsidRPr="00097001">
        <w:t>Таким образом, исходя из дифференциации по функциональному назначению,</w:t>
      </w:r>
      <w:r w:rsidR="00846D96" w:rsidRPr="00097001">
        <w:t xml:space="preserve"> </w:t>
      </w:r>
      <w:r w:rsidRPr="00097001">
        <w:t>применению, качественным и техническим характеристикам в целях исследования розничных рынков автомобильных бензинов можно выделить следующие товары:</w:t>
      </w:r>
    </w:p>
    <w:p w:rsidR="0099431F" w:rsidRPr="00097001" w:rsidRDefault="0099431F" w:rsidP="004F06B5">
      <w:pPr>
        <w:autoSpaceDE w:val="0"/>
        <w:autoSpaceDN w:val="0"/>
        <w:adjustRightInd w:val="0"/>
        <w:ind w:firstLine="709"/>
        <w:jc w:val="both"/>
      </w:pPr>
    </w:p>
    <w:p w:rsidR="0099431F" w:rsidRPr="00097001" w:rsidRDefault="00846D96" w:rsidP="00846D96">
      <w:pPr>
        <w:autoSpaceDE w:val="0"/>
        <w:autoSpaceDN w:val="0"/>
        <w:adjustRightInd w:val="0"/>
        <w:jc w:val="right"/>
      </w:pPr>
      <w:r w:rsidRPr="00097001">
        <w:t xml:space="preserve">Таблица 1. </w:t>
      </w:r>
    </w:p>
    <w:p w:rsidR="0099431F" w:rsidRPr="00097001" w:rsidRDefault="0099431F" w:rsidP="00846D96">
      <w:pPr>
        <w:autoSpaceDE w:val="0"/>
        <w:autoSpaceDN w:val="0"/>
        <w:adjustRightInd w:val="0"/>
        <w:jc w:val="right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3753"/>
        <w:gridCol w:w="3753"/>
        <w:gridCol w:w="3753"/>
      </w:tblGrid>
      <w:tr w:rsidR="00A76436" w:rsidRPr="00097001" w:rsidTr="00846D96">
        <w:trPr>
          <w:trHeight w:val="652"/>
        </w:trPr>
        <w:tc>
          <w:tcPr>
            <w:tcW w:w="3751" w:type="dxa"/>
          </w:tcPr>
          <w:p w:rsidR="00A76436" w:rsidRPr="00097001" w:rsidRDefault="00A76436" w:rsidP="003F6019">
            <w:pPr>
              <w:spacing w:line="276" w:lineRule="auto"/>
              <w:jc w:val="both"/>
            </w:pPr>
            <w:r w:rsidRPr="00097001">
              <w:t>Группы товаров</w:t>
            </w:r>
          </w:p>
        </w:tc>
        <w:tc>
          <w:tcPr>
            <w:tcW w:w="3753" w:type="dxa"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  <w:r w:rsidRPr="00097001">
              <w:t>Подгруппа</w:t>
            </w:r>
          </w:p>
        </w:tc>
        <w:tc>
          <w:tcPr>
            <w:tcW w:w="3753" w:type="dxa"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  <w:r w:rsidRPr="00097001">
              <w:t>ОЧ</w:t>
            </w:r>
          </w:p>
        </w:tc>
        <w:tc>
          <w:tcPr>
            <w:tcW w:w="3753" w:type="dxa"/>
          </w:tcPr>
          <w:p w:rsidR="00A76436" w:rsidRPr="00097001" w:rsidRDefault="00A76436" w:rsidP="003F6019">
            <w:pPr>
              <w:spacing w:line="276" w:lineRule="auto"/>
              <w:ind w:firstLine="709"/>
            </w:pPr>
            <w:r w:rsidRPr="00097001">
              <w:t>Товары (спецификации)</w:t>
            </w:r>
          </w:p>
        </w:tc>
      </w:tr>
      <w:tr w:rsidR="00A76436" w:rsidRPr="00097001" w:rsidTr="00846D96">
        <w:trPr>
          <w:trHeight w:val="636"/>
        </w:trPr>
        <w:tc>
          <w:tcPr>
            <w:tcW w:w="3751" w:type="dxa"/>
            <w:vMerge w:val="restart"/>
          </w:tcPr>
          <w:p w:rsidR="00A76436" w:rsidRPr="00097001" w:rsidRDefault="003F6019" w:rsidP="003F6019">
            <w:pPr>
              <w:spacing w:line="276" w:lineRule="auto"/>
              <w:jc w:val="both"/>
            </w:pPr>
            <w:r w:rsidRPr="00097001">
              <w:t xml:space="preserve">Автомобильные бензины (ОКП </w:t>
            </w:r>
            <w:r w:rsidR="00A76436" w:rsidRPr="00097001">
              <w:t>025110)</w:t>
            </w:r>
          </w:p>
        </w:tc>
        <w:tc>
          <w:tcPr>
            <w:tcW w:w="3753" w:type="dxa"/>
          </w:tcPr>
          <w:p w:rsidR="00A76436" w:rsidRPr="00097001" w:rsidRDefault="00A76436" w:rsidP="003F6019">
            <w:pPr>
              <w:spacing w:line="276" w:lineRule="auto"/>
              <w:jc w:val="both"/>
            </w:pPr>
            <w:r w:rsidRPr="00097001">
              <w:t>Низкооктановые</w:t>
            </w:r>
          </w:p>
        </w:tc>
        <w:tc>
          <w:tcPr>
            <w:tcW w:w="3753" w:type="dxa"/>
          </w:tcPr>
          <w:p w:rsidR="00A76436" w:rsidRPr="00097001" w:rsidRDefault="00A76436" w:rsidP="003F6019">
            <w:pPr>
              <w:spacing w:line="276" w:lineRule="auto"/>
              <w:jc w:val="both"/>
            </w:pPr>
            <w:r w:rsidRPr="00097001">
              <w:t>Не менее 76 по ММ, не менее 80 по ИМ</w:t>
            </w:r>
          </w:p>
        </w:tc>
        <w:tc>
          <w:tcPr>
            <w:tcW w:w="3753" w:type="dxa"/>
          </w:tcPr>
          <w:p w:rsidR="00A76436" w:rsidRPr="00097001" w:rsidRDefault="00A76436" w:rsidP="004F06B5">
            <w:pPr>
              <w:spacing w:line="276" w:lineRule="auto"/>
            </w:pPr>
            <w:r w:rsidRPr="00097001">
              <w:t>АИ-76 (АИ-80)</w:t>
            </w:r>
          </w:p>
        </w:tc>
      </w:tr>
      <w:tr w:rsidR="00A76436" w:rsidRPr="00097001" w:rsidTr="00846D96">
        <w:trPr>
          <w:trHeight w:val="148"/>
        </w:trPr>
        <w:tc>
          <w:tcPr>
            <w:tcW w:w="3751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  <w:vMerge w:val="restart"/>
          </w:tcPr>
          <w:p w:rsidR="00A76436" w:rsidRPr="00097001" w:rsidRDefault="00A76436" w:rsidP="003F6019">
            <w:pPr>
              <w:spacing w:line="276" w:lineRule="auto"/>
              <w:jc w:val="both"/>
            </w:pPr>
            <w:r w:rsidRPr="00097001">
              <w:t>высокооктановые</w:t>
            </w:r>
          </w:p>
        </w:tc>
        <w:tc>
          <w:tcPr>
            <w:tcW w:w="3753" w:type="dxa"/>
            <w:vMerge w:val="restart"/>
          </w:tcPr>
          <w:p w:rsidR="00A76436" w:rsidRPr="00097001" w:rsidRDefault="00A76436" w:rsidP="003F6019">
            <w:pPr>
              <w:spacing w:line="276" w:lineRule="auto"/>
              <w:jc w:val="both"/>
            </w:pPr>
            <w:r w:rsidRPr="00097001">
              <w:t>82,5-88 по ММ, 91-98 по ИМ</w:t>
            </w:r>
          </w:p>
        </w:tc>
        <w:tc>
          <w:tcPr>
            <w:tcW w:w="3753" w:type="dxa"/>
          </w:tcPr>
          <w:p w:rsidR="00A76436" w:rsidRPr="00097001" w:rsidRDefault="00A76436" w:rsidP="004F06B5">
            <w:pPr>
              <w:spacing w:line="276" w:lineRule="auto"/>
            </w:pPr>
            <w:r w:rsidRPr="00097001">
              <w:t>АИ-92(АИ-91, АИ-93)</w:t>
            </w:r>
          </w:p>
        </w:tc>
      </w:tr>
      <w:tr w:rsidR="00A76436" w:rsidRPr="00097001" w:rsidTr="00846D96">
        <w:trPr>
          <w:trHeight w:val="148"/>
        </w:trPr>
        <w:tc>
          <w:tcPr>
            <w:tcW w:w="3751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</w:tcPr>
          <w:p w:rsidR="00A76436" w:rsidRPr="00097001" w:rsidRDefault="00A76436" w:rsidP="004F06B5">
            <w:pPr>
              <w:spacing w:line="276" w:lineRule="auto"/>
            </w:pPr>
            <w:r w:rsidRPr="00097001">
              <w:t>АИ-95 (АИ-96)</w:t>
            </w:r>
          </w:p>
        </w:tc>
      </w:tr>
      <w:tr w:rsidR="00A76436" w:rsidRPr="00097001" w:rsidTr="00846D96">
        <w:trPr>
          <w:trHeight w:val="148"/>
        </w:trPr>
        <w:tc>
          <w:tcPr>
            <w:tcW w:w="3751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  <w:vMerge/>
          </w:tcPr>
          <w:p w:rsidR="00A76436" w:rsidRPr="00097001" w:rsidRDefault="00A76436" w:rsidP="003E273B">
            <w:pPr>
              <w:spacing w:line="276" w:lineRule="auto"/>
              <w:ind w:firstLine="709"/>
              <w:jc w:val="both"/>
            </w:pPr>
          </w:p>
        </w:tc>
        <w:tc>
          <w:tcPr>
            <w:tcW w:w="3753" w:type="dxa"/>
          </w:tcPr>
          <w:p w:rsidR="00A76436" w:rsidRPr="00097001" w:rsidRDefault="00A76436" w:rsidP="004F06B5">
            <w:pPr>
              <w:spacing w:line="276" w:lineRule="auto"/>
            </w:pPr>
            <w:r w:rsidRPr="00097001">
              <w:t>АИ-98</w:t>
            </w:r>
          </w:p>
        </w:tc>
      </w:tr>
    </w:tbl>
    <w:p w:rsidR="00A76436" w:rsidRPr="00097001" w:rsidRDefault="00A76436" w:rsidP="003E273B">
      <w:pPr>
        <w:spacing w:line="276" w:lineRule="auto"/>
        <w:ind w:firstLine="709"/>
        <w:jc w:val="both"/>
      </w:pPr>
    </w:p>
    <w:p w:rsidR="004F06B5" w:rsidRPr="00097001" w:rsidRDefault="004F06B5" w:rsidP="0099431F">
      <w:pPr>
        <w:autoSpaceDE w:val="0"/>
        <w:autoSpaceDN w:val="0"/>
        <w:adjustRightInd w:val="0"/>
        <w:jc w:val="both"/>
        <w:rPr>
          <w:b/>
          <w:bCs/>
        </w:rPr>
      </w:pPr>
    </w:p>
    <w:p w:rsidR="0099431F" w:rsidRPr="00097001" w:rsidRDefault="0099431F" w:rsidP="0099431F">
      <w:pPr>
        <w:autoSpaceDE w:val="0"/>
        <w:autoSpaceDN w:val="0"/>
        <w:adjustRightInd w:val="0"/>
        <w:jc w:val="both"/>
      </w:pPr>
      <w:r w:rsidRPr="00097001">
        <w:t>Исходя из специфики розничного потребления автомобильных бензинов (не</w:t>
      </w:r>
      <w:r w:rsidR="004F06B5" w:rsidRPr="00097001">
        <w:t xml:space="preserve"> </w:t>
      </w:r>
      <w:r w:rsidRPr="00097001">
        <w:t>взаимозаменяемость марки автомобильного бензина при потреблении в сторону</w:t>
      </w:r>
      <w:r w:rsidR="004F06B5" w:rsidRPr="00097001">
        <w:t xml:space="preserve"> </w:t>
      </w:r>
      <w:r w:rsidRPr="00097001">
        <w:t>снижения октанового числа, так как использование моторного топлива с октановым числом ниже заявленного в техническом паспорте (инструкции по эксплуатации) автомобиля, ведет к несвоевременному сгоранию топлива, снижению мощности, износу двигателя и другим негативным последствиям для владельца автотранспортного средства) продуктовые границы данных товаров следует рассматривать по маркам автомобильных бензинов.</w:t>
      </w:r>
    </w:p>
    <w:p w:rsidR="0099431F" w:rsidRPr="00097001" w:rsidRDefault="0099431F" w:rsidP="0099431F">
      <w:pPr>
        <w:autoSpaceDE w:val="0"/>
        <w:autoSpaceDN w:val="0"/>
        <w:adjustRightInd w:val="0"/>
        <w:jc w:val="both"/>
      </w:pPr>
      <w:r w:rsidRPr="00097001">
        <w:t>Брендированные автомобильные бензины различных марок (Ultimate, Pulsar,</w:t>
      </w:r>
      <w:r w:rsidR="004F06B5" w:rsidRPr="00097001">
        <w:t xml:space="preserve"> </w:t>
      </w:r>
      <w:r w:rsidRPr="00097001">
        <w:t>V-Power, G-Drive, Экто и тому подобное) в пределах одного ОЧ следует</w:t>
      </w:r>
      <w:r w:rsidR="004F06B5" w:rsidRPr="00097001">
        <w:t xml:space="preserve"> </w:t>
      </w:r>
      <w:r w:rsidRPr="00097001">
        <w:t>рассматривать как одну товарную группу.</w:t>
      </w:r>
    </w:p>
    <w:p w:rsidR="0099431F" w:rsidRPr="00097001" w:rsidRDefault="0099431F" w:rsidP="0099431F">
      <w:pPr>
        <w:autoSpaceDE w:val="0"/>
        <w:autoSpaceDN w:val="0"/>
        <w:adjustRightInd w:val="0"/>
        <w:jc w:val="both"/>
      </w:pPr>
      <w:r w:rsidRPr="00097001">
        <w:t>Также, в целях исключения взаимозаменяемости автомобильных бензинов и</w:t>
      </w:r>
      <w:r w:rsidR="004F06B5" w:rsidRPr="00097001">
        <w:t xml:space="preserve"> </w:t>
      </w:r>
      <w:r w:rsidRPr="00097001">
        <w:t>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пожароопасности.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2C3790" w:rsidRPr="00097001" w:rsidRDefault="002C3790" w:rsidP="003E273B">
      <w:pPr>
        <w:spacing w:line="276" w:lineRule="auto"/>
        <w:ind w:firstLine="709"/>
        <w:jc w:val="both"/>
      </w:pPr>
      <w:r w:rsidRPr="00097001">
        <w:t xml:space="preserve">На территории Ненецкого автономного округа происходит розничная реализация следующих </w:t>
      </w:r>
      <w:r w:rsidR="00247B27" w:rsidRPr="00097001">
        <w:t>марок автомобильных бензинов:</w:t>
      </w:r>
    </w:p>
    <w:p w:rsidR="000D47E9" w:rsidRPr="00097001" w:rsidRDefault="000D47E9" w:rsidP="003E273B">
      <w:pPr>
        <w:spacing w:line="276" w:lineRule="auto"/>
        <w:ind w:firstLine="709"/>
        <w:jc w:val="both"/>
      </w:pPr>
      <w:r w:rsidRPr="00097001">
        <w:t>- бензин АИ-92;</w:t>
      </w:r>
    </w:p>
    <w:p w:rsidR="00247B27" w:rsidRPr="00097001" w:rsidRDefault="000D47E9" w:rsidP="003E273B">
      <w:pPr>
        <w:spacing w:line="276" w:lineRule="auto"/>
        <w:ind w:firstLine="709"/>
        <w:jc w:val="both"/>
      </w:pPr>
      <w:r w:rsidRPr="00097001">
        <w:lastRenderedPageBreak/>
        <w:t>- бензин АИ-95</w:t>
      </w:r>
      <w:r w:rsidR="00247B27" w:rsidRPr="00097001">
        <w:t>;</w:t>
      </w:r>
    </w:p>
    <w:p w:rsidR="000D47E9" w:rsidRPr="00097001" w:rsidRDefault="00247B27" w:rsidP="003E273B">
      <w:pPr>
        <w:spacing w:line="276" w:lineRule="auto"/>
        <w:ind w:firstLine="709"/>
        <w:jc w:val="both"/>
      </w:pPr>
      <w:r w:rsidRPr="00097001">
        <w:t>- бензин АИ-80</w:t>
      </w:r>
      <w:r w:rsidR="000D47E9" w:rsidRPr="00097001">
        <w:t>.</w:t>
      </w:r>
    </w:p>
    <w:p w:rsidR="00247B27" w:rsidRPr="00097001" w:rsidRDefault="00247B27" w:rsidP="003E273B">
      <w:pPr>
        <w:spacing w:line="276" w:lineRule="auto"/>
        <w:ind w:firstLine="709"/>
        <w:jc w:val="both"/>
      </w:pPr>
      <w:r w:rsidRPr="00097001">
        <w:t xml:space="preserve">Таким образом, продуктовые границы определены следующими марками автомобильных бензинов АИ – 92, АИ-95, АИ-80. </w:t>
      </w:r>
    </w:p>
    <w:p w:rsidR="003766B8" w:rsidRDefault="003766B8" w:rsidP="004F06B5">
      <w:pPr>
        <w:spacing w:line="276" w:lineRule="auto"/>
        <w:ind w:firstLine="709"/>
        <w:jc w:val="center"/>
        <w:rPr>
          <w:b/>
        </w:rPr>
      </w:pPr>
    </w:p>
    <w:p w:rsidR="00A93A02" w:rsidRPr="00097001" w:rsidRDefault="00A93A02" w:rsidP="004F06B5">
      <w:pPr>
        <w:spacing w:line="276" w:lineRule="auto"/>
        <w:ind w:firstLine="709"/>
        <w:jc w:val="center"/>
        <w:rPr>
          <w:b/>
        </w:rPr>
      </w:pPr>
      <w:r w:rsidRPr="00097001">
        <w:rPr>
          <w:b/>
        </w:rPr>
        <w:t>Географические границы товарного рынка</w:t>
      </w:r>
    </w:p>
    <w:p w:rsidR="00EA223E" w:rsidRPr="00097001" w:rsidRDefault="00EA223E" w:rsidP="003E273B">
      <w:pPr>
        <w:spacing w:line="276" w:lineRule="auto"/>
        <w:ind w:firstLine="709"/>
        <w:jc w:val="both"/>
        <w:rPr>
          <w:b/>
        </w:rPr>
      </w:pPr>
    </w:p>
    <w:p w:rsidR="00EA4832" w:rsidRPr="00097001" w:rsidRDefault="00EA4832" w:rsidP="00EA4832">
      <w:pPr>
        <w:autoSpaceDE w:val="0"/>
        <w:autoSpaceDN w:val="0"/>
        <w:adjustRightInd w:val="0"/>
        <w:jc w:val="both"/>
      </w:pPr>
      <w:r w:rsidRPr="00097001">
        <w:t>Предварительное определение географических границ товарного рынка –</w:t>
      </w:r>
      <w:r w:rsidR="004F06B5" w:rsidRPr="00097001">
        <w:t xml:space="preserve"> </w:t>
      </w:r>
      <w:r w:rsidRPr="00097001">
        <w:t>границы субъекта Российской Федерации.</w:t>
      </w:r>
    </w:p>
    <w:p w:rsidR="00EA4832" w:rsidRPr="00097001" w:rsidRDefault="00EA4832" w:rsidP="00EA4832">
      <w:pPr>
        <w:autoSpaceDE w:val="0"/>
        <w:autoSpaceDN w:val="0"/>
        <w:adjustRightInd w:val="0"/>
        <w:jc w:val="both"/>
      </w:pPr>
      <w:r w:rsidRPr="00097001">
        <w:t>Для определения географических границ товарного рынка УФАС России</w:t>
      </w:r>
      <w:r w:rsidR="004F06B5" w:rsidRPr="00097001">
        <w:t xml:space="preserve"> </w:t>
      </w:r>
      <w:r w:rsidRPr="00097001">
        <w:t>необходимо оценить экономическую возможность приобретения автомобильных бензинов потребителем.</w:t>
      </w:r>
    </w:p>
    <w:p w:rsidR="00EA4832" w:rsidRPr="00097001" w:rsidRDefault="00EA4832" w:rsidP="00EA4832">
      <w:pPr>
        <w:autoSpaceDE w:val="0"/>
        <w:autoSpaceDN w:val="0"/>
        <w:adjustRightInd w:val="0"/>
        <w:jc w:val="both"/>
      </w:pPr>
      <w:r w:rsidRPr="00097001">
        <w:t>Исходя из территориальной фиксированности автозаправочных станций</w:t>
      </w:r>
      <w:r w:rsidR="004F06B5" w:rsidRPr="00097001">
        <w:t xml:space="preserve"> </w:t>
      </w:r>
      <w:r w:rsidRPr="00097001">
        <w:t>(далее – АЗС), основными ограничениями экономической возможности</w:t>
      </w:r>
      <w:r w:rsidR="004F06B5" w:rsidRPr="00097001">
        <w:t xml:space="preserve"> </w:t>
      </w:r>
      <w:r w:rsidRPr="00097001">
        <w:t>приобретения автомобильных бензинов потребителем являются расположение АЗС, расстояние до АЗС, маршрут следования до АЗС и транспортные расходы,</w:t>
      </w:r>
    </w:p>
    <w:p w:rsidR="00EA4832" w:rsidRPr="00097001" w:rsidRDefault="00EA4832" w:rsidP="00EA4832">
      <w:pPr>
        <w:autoSpaceDE w:val="0"/>
        <w:autoSpaceDN w:val="0"/>
        <w:adjustRightInd w:val="0"/>
        <w:jc w:val="both"/>
      </w:pPr>
      <w:r w:rsidRPr="00097001">
        <w:t>связанные с поиском и приобретением автомобильных бензинов. Также, исходя из низкой эластичности спроса, рекомендуется включать в географические границы розничного рынка автомобильных бензинов территорию в пределах одного региона и находящуюся в пределах 100 километров от АЗС, при условии равных или несущественно отличающихся цен (менее 10%).</w:t>
      </w:r>
    </w:p>
    <w:p w:rsidR="009E36E6" w:rsidRPr="00097001" w:rsidRDefault="00A93A02" w:rsidP="00EA4832">
      <w:pPr>
        <w:autoSpaceDE w:val="0"/>
        <w:autoSpaceDN w:val="0"/>
        <w:adjustRightInd w:val="0"/>
      </w:pPr>
      <w:r w:rsidRPr="00097001">
        <w:rPr>
          <w:bCs/>
        </w:rPr>
        <w:t>Таким образом, г</w:t>
      </w:r>
      <w:r w:rsidRPr="00097001">
        <w:t>еографические границы рынка</w:t>
      </w:r>
      <w:r w:rsidR="008317CD" w:rsidRPr="00097001">
        <w:t xml:space="preserve"> приняты географические границы </w:t>
      </w:r>
      <w:r w:rsidR="00D23D93" w:rsidRPr="00097001">
        <w:t>Ненецкого автономного округа.</w:t>
      </w:r>
    </w:p>
    <w:p w:rsidR="00D23D93" w:rsidRPr="00097001" w:rsidRDefault="00D23D93" w:rsidP="002116FC">
      <w:pPr>
        <w:pStyle w:val="3"/>
        <w:spacing w:line="276" w:lineRule="auto"/>
        <w:ind w:firstLine="0"/>
      </w:pPr>
    </w:p>
    <w:p w:rsidR="000A1539" w:rsidRPr="00097001" w:rsidRDefault="004F06B5" w:rsidP="004F06B5">
      <w:pPr>
        <w:pStyle w:val="3"/>
        <w:spacing w:line="276" w:lineRule="auto"/>
        <w:ind w:left="709" w:firstLine="0"/>
        <w:jc w:val="center"/>
      </w:pPr>
      <w:r w:rsidRPr="00097001">
        <w:t>Состав хозяйствующих субъектов</w:t>
      </w:r>
    </w:p>
    <w:p w:rsidR="00FA24C8" w:rsidRPr="00097001" w:rsidRDefault="00EA4832" w:rsidP="004F06B5">
      <w:pPr>
        <w:autoSpaceDE w:val="0"/>
        <w:autoSpaceDN w:val="0"/>
        <w:adjustRightInd w:val="0"/>
        <w:jc w:val="both"/>
      </w:pPr>
      <w:r w:rsidRPr="00097001">
        <w:t>Продавцами на розничных рынках автомобильных бензинов являются хозяйст</w:t>
      </w:r>
      <w:r w:rsidR="004F06B5" w:rsidRPr="00097001">
        <w:t xml:space="preserve">вующие субъекты, осуществляющие </w:t>
      </w:r>
      <w:r w:rsidRPr="00097001">
        <w:t>деятельность по розничной торговле автомобильными бензина</w:t>
      </w:r>
      <w:r w:rsidR="004F06B5" w:rsidRPr="00097001">
        <w:t xml:space="preserve">ми на АЗС единичным количеством </w:t>
      </w:r>
      <w:r w:rsidRPr="00097001">
        <w:t>товара(автомобильного бензина) преимущественно для личного использования.</w:t>
      </w:r>
    </w:p>
    <w:p w:rsidR="00EA4832" w:rsidRPr="00097001" w:rsidRDefault="00EA4832" w:rsidP="004F06B5">
      <w:pPr>
        <w:autoSpaceDE w:val="0"/>
        <w:autoSpaceDN w:val="0"/>
        <w:adjustRightInd w:val="0"/>
        <w:jc w:val="both"/>
      </w:pPr>
      <w:r w:rsidRPr="00097001">
        <w:t>Покупателями на розничных рынках автомобильных бензинов являются</w:t>
      </w:r>
      <w:r w:rsidR="004F06B5" w:rsidRPr="00097001">
        <w:t xml:space="preserve"> </w:t>
      </w:r>
      <w:r w:rsidRPr="00097001">
        <w:t>физические и юридические лица, приобретающие автомобильные бензины</w:t>
      </w:r>
      <w:r w:rsidR="004F06B5" w:rsidRPr="00097001">
        <w:t xml:space="preserve"> </w:t>
      </w:r>
      <w:r w:rsidRPr="00097001">
        <w:t>единичного количества преимущественно для личного использования.</w:t>
      </w:r>
    </w:p>
    <w:p w:rsidR="00EA4832" w:rsidRPr="00097001" w:rsidRDefault="00EA4832" w:rsidP="004F06B5">
      <w:pPr>
        <w:autoSpaceDE w:val="0"/>
        <w:autoSpaceDN w:val="0"/>
        <w:adjustRightInd w:val="0"/>
        <w:ind w:left="720"/>
        <w:jc w:val="both"/>
      </w:pPr>
    </w:p>
    <w:p w:rsidR="00FA24C8" w:rsidRPr="00097001" w:rsidRDefault="00FA24C8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>Потребителями нефтепродуктов на исследуемом товарном рынке являются юридические, физические лица, индивидуальные предприниматели, приобретающие нефтепродукты для обеспечения потребностей собственного автопарка:</w:t>
      </w:r>
    </w:p>
    <w:p w:rsidR="00FA24C8" w:rsidRPr="00097001" w:rsidRDefault="00FA24C8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>- автотранспортные предприятия, индивидуальные предприниматели, специализирующиеся на грузовых и пассажирских перевозках;</w:t>
      </w:r>
    </w:p>
    <w:p w:rsidR="00FA24C8" w:rsidRPr="00097001" w:rsidRDefault="00FA24C8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>- хозяйствующие субъекты, любого вида деятельности, имеющиеся на балансе автопарка;</w:t>
      </w:r>
    </w:p>
    <w:p w:rsidR="00FA24C8" w:rsidRPr="00097001" w:rsidRDefault="00FA24C8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>- хозяйствующие субъекты любого вида деятельности, приобретающие нефтепродукты для собственного автопарка по пластиковым и другим видам карт, а также физические лица, имеющие в собственности (аренде) автотранспортные средства.</w:t>
      </w:r>
    </w:p>
    <w:p w:rsidR="00F60E90" w:rsidRPr="00097001" w:rsidRDefault="00F60E90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lastRenderedPageBreak/>
        <w:t>В состав хозяйствующих субъектов, действующих на региональном товарном рынке, включены продавцы, осуществляющие постоянную реализацию нефтепродуктов через автозаправочные станции.</w:t>
      </w:r>
    </w:p>
    <w:p w:rsidR="00F60E90" w:rsidRPr="00097001" w:rsidRDefault="00F60E90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 xml:space="preserve">Управлением выявлено 2 хозяйствующих субъекта, осуществляющих деятельность по розничной реализации нефтепродуктов на территории </w:t>
      </w:r>
      <w:r w:rsidR="00D23D93" w:rsidRPr="00097001">
        <w:rPr>
          <w:b w:val="0"/>
        </w:rPr>
        <w:t>Ненецкого автономного округа.</w:t>
      </w:r>
    </w:p>
    <w:p w:rsidR="00F60E90" w:rsidRPr="00097001" w:rsidRDefault="00F60E90" w:rsidP="004F06B5">
      <w:pPr>
        <w:pStyle w:val="3"/>
        <w:spacing w:line="276" w:lineRule="auto"/>
        <w:ind w:firstLine="709"/>
        <w:rPr>
          <w:b w:val="0"/>
        </w:rPr>
      </w:pPr>
      <w:r w:rsidRPr="00097001">
        <w:rPr>
          <w:b w:val="0"/>
        </w:rPr>
        <w:t xml:space="preserve">В ходе анализа установлено, что на территории </w:t>
      </w:r>
      <w:r w:rsidR="00D23D93" w:rsidRPr="00097001">
        <w:rPr>
          <w:b w:val="0"/>
        </w:rPr>
        <w:t>Ненецкого автономного округа</w:t>
      </w:r>
      <w:r w:rsidRPr="00097001">
        <w:rPr>
          <w:b w:val="0"/>
        </w:rPr>
        <w:t xml:space="preserve"> функционирует </w:t>
      </w:r>
      <w:r w:rsidR="00D23D93" w:rsidRPr="00097001">
        <w:rPr>
          <w:b w:val="0"/>
        </w:rPr>
        <w:t xml:space="preserve">4 </w:t>
      </w:r>
      <w:r w:rsidRPr="00097001">
        <w:rPr>
          <w:b w:val="0"/>
        </w:rPr>
        <w:t>АЗС, принадлежащим на праве собственности 2 хозяйствующим субъектам.</w:t>
      </w:r>
    </w:p>
    <w:p w:rsidR="00642270" w:rsidRPr="00097001" w:rsidRDefault="00642270" w:rsidP="00097001">
      <w:pPr>
        <w:pStyle w:val="3"/>
        <w:spacing w:line="276" w:lineRule="auto"/>
        <w:ind w:firstLine="0"/>
        <w:rPr>
          <w:b w:val="0"/>
        </w:rPr>
      </w:pPr>
    </w:p>
    <w:p w:rsidR="003057B8" w:rsidRPr="00097001" w:rsidRDefault="003057B8" w:rsidP="00097001">
      <w:pPr>
        <w:pStyle w:val="3"/>
        <w:spacing w:line="276" w:lineRule="auto"/>
        <w:ind w:firstLine="709"/>
        <w:jc w:val="center"/>
      </w:pPr>
      <w:r w:rsidRPr="00097001">
        <w:t>Расчет объема товарного рынка и долей хозяйствующих</w:t>
      </w:r>
    </w:p>
    <w:p w:rsidR="003057B8" w:rsidRPr="00097001" w:rsidRDefault="008B0076" w:rsidP="00097001">
      <w:pPr>
        <w:pStyle w:val="3"/>
        <w:spacing w:line="276" w:lineRule="auto"/>
        <w:ind w:firstLine="709"/>
        <w:jc w:val="center"/>
      </w:pPr>
      <w:r w:rsidRPr="00097001">
        <w:t>с</w:t>
      </w:r>
      <w:r w:rsidR="003057B8" w:rsidRPr="00097001">
        <w:t>убъе</w:t>
      </w:r>
      <w:r w:rsidR="003057B8" w:rsidRPr="00097001">
        <w:t>к</w:t>
      </w:r>
      <w:r w:rsidR="003057B8" w:rsidRPr="00097001">
        <w:t>тов</w:t>
      </w:r>
    </w:p>
    <w:p w:rsidR="008B0076" w:rsidRPr="00097001" w:rsidRDefault="008B0076" w:rsidP="003E273B">
      <w:pPr>
        <w:pStyle w:val="3"/>
        <w:spacing w:line="276" w:lineRule="auto"/>
        <w:ind w:firstLine="709"/>
      </w:pPr>
    </w:p>
    <w:p w:rsidR="005F173E" w:rsidRPr="00097001" w:rsidRDefault="005F173E" w:rsidP="003E273B">
      <w:pPr>
        <w:spacing w:line="276" w:lineRule="auto"/>
        <w:ind w:firstLine="709"/>
        <w:jc w:val="both"/>
      </w:pPr>
      <w:r w:rsidRPr="00097001">
        <w:t xml:space="preserve">Расчет общего объема </w:t>
      </w:r>
      <w:r w:rsidR="007A5335" w:rsidRPr="00097001">
        <w:t xml:space="preserve">рынка </w:t>
      </w:r>
      <w:r w:rsidRPr="00097001">
        <w:t>за определенный период времени в продуктовых и географических границах рассматриваемых рынков и долей хозяйствующих субъектов на указанных рынках осуществляется на основании след</w:t>
      </w:r>
      <w:r w:rsidR="00FF2C13" w:rsidRPr="00097001">
        <w:t>ующих показателей объема продаж в</w:t>
      </w:r>
      <w:r w:rsidRPr="00097001">
        <w:t xml:space="preserve"> натуральном выражении, а именно:</w:t>
      </w:r>
    </w:p>
    <w:p w:rsidR="005F173E" w:rsidRPr="00097001" w:rsidRDefault="005F173E" w:rsidP="003E273B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97001">
        <w:t xml:space="preserve">Сумма </w:t>
      </w:r>
      <w:r w:rsidR="00657254" w:rsidRPr="00097001">
        <w:t>объемов</w:t>
      </w:r>
      <w:r w:rsidR="00337739" w:rsidRPr="00097001">
        <w:t xml:space="preserve"> предоставляемой услуги в натуральном выражении</w:t>
      </w:r>
      <w:r w:rsidR="003816F1" w:rsidRPr="00097001">
        <w:t xml:space="preserve"> (литрах)</w:t>
      </w:r>
      <w:r w:rsidRPr="00097001">
        <w:t>;</w:t>
      </w:r>
    </w:p>
    <w:p w:rsidR="00097001" w:rsidRDefault="003816F1" w:rsidP="00097001">
      <w:pPr>
        <w:spacing w:line="276" w:lineRule="auto"/>
        <w:ind w:firstLine="709"/>
        <w:jc w:val="both"/>
      </w:pPr>
      <w:r w:rsidRPr="00097001">
        <w:t xml:space="preserve">    </w:t>
      </w:r>
    </w:p>
    <w:p w:rsidR="00097001" w:rsidRPr="00097001" w:rsidRDefault="00097001" w:rsidP="00097001">
      <w:pPr>
        <w:spacing w:line="276" w:lineRule="auto"/>
        <w:ind w:firstLine="709"/>
        <w:jc w:val="both"/>
      </w:pPr>
    </w:p>
    <w:p w:rsidR="00D75567" w:rsidRPr="00097001" w:rsidRDefault="00A72857" w:rsidP="003766B8">
      <w:pPr>
        <w:spacing w:line="276" w:lineRule="auto"/>
        <w:ind w:firstLine="709"/>
      </w:pPr>
      <w:r w:rsidRPr="00097001">
        <w:t>.</w:t>
      </w:r>
      <w:r w:rsidR="00FC56E6" w:rsidRPr="00097001">
        <w:t xml:space="preserve"> </w:t>
      </w:r>
    </w:p>
    <w:p w:rsidR="00E039BD" w:rsidRPr="00097001" w:rsidRDefault="00E039BD" w:rsidP="003E273B">
      <w:pPr>
        <w:spacing w:line="276" w:lineRule="auto"/>
        <w:ind w:firstLine="709"/>
        <w:jc w:val="both"/>
      </w:pPr>
    </w:p>
    <w:p w:rsidR="005866C5" w:rsidRPr="00097001" w:rsidRDefault="005866C5" w:rsidP="00132219">
      <w:pPr>
        <w:pStyle w:val="1"/>
        <w:spacing w:line="276" w:lineRule="auto"/>
        <w:ind w:left="0" w:firstLine="709"/>
        <w:rPr>
          <w:b/>
          <w:bCs/>
          <w:szCs w:val="24"/>
        </w:rPr>
      </w:pPr>
    </w:p>
    <w:p w:rsidR="00132219" w:rsidRPr="00097001" w:rsidRDefault="00132219" w:rsidP="00CF1519"/>
    <w:p w:rsidR="00132219" w:rsidRPr="00097001" w:rsidRDefault="00F74867" w:rsidP="00097001">
      <w:r>
        <w:rPr>
          <w:noProof/>
        </w:rPr>
        <w:lastRenderedPageBreak/>
        <w:drawing>
          <wp:inline distT="0" distB="0" distL="0" distR="0">
            <wp:extent cx="3066465" cy="2745522"/>
            <wp:effectExtent l="7676" t="6117" r="2434" b="1086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733" cy="2747354"/>
            <wp:effectExtent l="7170" t="5371" r="2522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435" cy="2744051"/>
            <wp:effectExtent l="7427" t="6096" r="1963" b="2578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219" w:rsidRPr="00097001" w:rsidRDefault="00097001" w:rsidP="00097001">
      <w:pPr>
        <w:tabs>
          <w:tab w:val="left" w:pos="1725"/>
        </w:tabs>
      </w:pPr>
      <w:r w:rsidRPr="00097001">
        <w:tab/>
        <w:t>Рис.1                                                                     Рис.2                                                            Рис.3</w:t>
      </w:r>
    </w:p>
    <w:p w:rsidR="00132219" w:rsidRPr="00097001" w:rsidRDefault="00132219" w:rsidP="00CF1519"/>
    <w:p w:rsidR="005866C5" w:rsidRPr="00097001" w:rsidRDefault="00737D09" w:rsidP="00CF1519">
      <w:r>
        <w:t xml:space="preserve">* </w:t>
      </w:r>
      <w:r w:rsidR="00BC43F4">
        <w:t>Данные в отношении ЛУКОЙЛ СЗНП Сев РУ представлены за период 01.04.2013 -01.03.2014 гг. Представить данные за период 01.04.2014 г. не представляется возможным в связи с тем, что отчетный период не закрыт (информация является предварительной).</w:t>
      </w:r>
    </w:p>
    <w:p w:rsidR="00D64B2B" w:rsidRPr="00097001" w:rsidRDefault="00D64B2B" w:rsidP="00846D96">
      <w:pPr>
        <w:pStyle w:val="1"/>
        <w:spacing w:line="276" w:lineRule="auto"/>
        <w:ind w:left="0" w:firstLine="709"/>
        <w:jc w:val="center"/>
        <w:rPr>
          <w:b/>
          <w:bCs/>
          <w:szCs w:val="24"/>
        </w:rPr>
      </w:pPr>
      <w:r w:rsidRPr="00097001">
        <w:rPr>
          <w:b/>
          <w:bCs/>
          <w:szCs w:val="24"/>
        </w:rPr>
        <w:t>Определение уровня концентрации товарного рынка</w:t>
      </w:r>
    </w:p>
    <w:p w:rsidR="008B0076" w:rsidRPr="00097001" w:rsidRDefault="008B0076" w:rsidP="003E273B">
      <w:pPr>
        <w:spacing w:line="276" w:lineRule="auto"/>
        <w:ind w:firstLine="709"/>
        <w:jc w:val="both"/>
      </w:pP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>Для определения уровня концентрации рынка в соответствующих географических границах в соответствии с пунктом 7.1 Порядка использ</w:t>
      </w:r>
      <w:r w:rsidRPr="00097001">
        <w:t>о</w:t>
      </w:r>
      <w:r w:rsidRPr="00097001">
        <w:t>ваны: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bookmarkStart w:id="0" w:name="sub_10711"/>
      <w:r w:rsidRPr="00097001">
        <w:t>а) коэффициент рыночной концентрации (CR) - сумма долей на товарном рынке (выраженных в процентах) определенного числа (n) крупнейших хозяйс</w:t>
      </w:r>
      <w:r w:rsidRPr="00097001">
        <w:t>т</w:t>
      </w:r>
      <w:r w:rsidRPr="00097001">
        <w:t>вующих субъектов, действующих на данном рынке:</w:t>
      </w:r>
    </w:p>
    <w:bookmarkEnd w:id="0"/>
    <w:p w:rsidR="00D64B2B" w:rsidRPr="00097001" w:rsidRDefault="00D64B2B" w:rsidP="003E273B">
      <w:pPr>
        <w:spacing w:line="276" w:lineRule="auto"/>
        <w:ind w:firstLine="709"/>
        <w:jc w:val="both"/>
      </w:pPr>
    </w:p>
    <w:p w:rsidR="00D64B2B" w:rsidRPr="00097001" w:rsidRDefault="00F74867" w:rsidP="003E273B">
      <w:pPr>
        <w:spacing w:line="276" w:lineRule="auto"/>
        <w:ind w:firstLine="709"/>
        <w:jc w:val="both"/>
      </w:pPr>
      <w:r>
        <w:rPr>
          <w:b/>
          <w:noProof/>
        </w:rPr>
        <w:drawing>
          <wp:inline distT="0" distB="0" distL="0" distR="0">
            <wp:extent cx="100965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B2B" w:rsidRPr="00097001">
        <w:t>,</w:t>
      </w:r>
    </w:p>
    <w:p w:rsidR="00D64B2B" w:rsidRPr="00097001" w:rsidRDefault="00D64B2B" w:rsidP="003E273B">
      <w:pPr>
        <w:spacing w:line="276" w:lineRule="auto"/>
        <w:ind w:firstLine="709"/>
        <w:jc w:val="both"/>
      </w:pP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lastRenderedPageBreak/>
        <w:t>где: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>D - выраженная в процентах доля i-го крупнейшего хозяйствующего субъе</w:t>
      </w:r>
      <w:r w:rsidRPr="00097001">
        <w:t>к</w:t>
      </w:r>
      <w:r w:rsidRPr="00097001">
        <w:t>та, действующего на товарном рынке;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>n - число рассматриваемых крупнейших хозяйствующих субъектов, дейс</w:t>
      </w:r>
      <w:r w:rsidRPr="00097001">
        <w:t>т</w:t>
      </w:r>
      <w:r w:rsidRPr="00097001">
        <w:t>вующих на данном товарном рынке;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bookmarkStart w:id="1" w:name="sub_10712"/>
      <w:r w:rsidRPr="00097001">
        <w:t>б) индекс рыночной концентрации Герфиндаля-Гиршмана (HHI) - су</w:t>
      </w:r>
      <w:r w:rsidRPr="00097001">
        <w:t>м</w:t>
      </w:r>
      <w:r w:rsidRPr="00097001">
        <w:t>ма квадратов долей (выраженных в процентах) на товарном рынке всех хозяйству</w:t>
      </w:r>
      <w:r w:rsidRPr="00097001">
        <w:t>ю</w:t>
      </w:r>
      <w:r w:rsidRPr="00097001">
        <w:t>щих субъектов, действующих на данном рынке:</w:t>
      </w:r>
    </w:p>
    <w:bookmarkEnd w:id="1"/>
    <w:p w:rsidR="00D64B2B" w:rsidRPr="00097001" w:rsidRDefault="00D64B2B" w:rsidP="003E273B">
      <w:pPr>
        <w:spacing w:line="276" w:lineRule="auto"/>
        <w:ind w:firstLine="709"/>
        <w:jc w:val="both"/>
      </w:pPr>
    </w:p>
    <w:p w:rsidR="00D64B2B" w:rsidRPr="00097001" w:rsidRDefault="00F74867" w:rsidP="003E273B">
      <w:pPr>
        <w:spacing w:line="276" w:lineRule="auto"/>
        <w:ind w:firstLine="709"/>
        <w:jc w:val="both"/>
      </w:pPr>
      <w:r>
        <w:rPr>
          <w:b/>
          <w:noProof/>
        </w:rPr>
        <w:drawing>
          <wp:inline distT="0" distB="0" distL="0" distR="0">
            <wp:extent cx="1219200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B2B" w:rsidRPr="00097001">
        <w:t>,</w:t>
      </w:r>
    </w:p>
    <w:p w:rsidR="00D64B2B" w:rsidRPr="00097001" w:rsidRDefault="00D64B2B" w:rsidP="003E273B">
      <w:pPr>
        <w:spacing w:line="276" w:lineRule="auto"/>
        <w:ind w:firstLine="709"/>
        <w:jc w:val="both"/>
      </w:pP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>где: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>D - выраженная в процентах доля i-го хозяйствующего субъекта, действу</w:t>
      </w:r>
      <w:r w:rsidRPr="00097001">
        <w:t>ю</w:t>
      </w:r>
      <w:r w:rsidRPr="00097001">
        <w:t>щего на товарном рынке;</w:t>
      </w:r>
    </w:p>
    <w:p w:rsidR="00D64B2B" w:rsidRPr="00097001" w:rsidRDefault="00D64B2B" w:rsidP="003E273B">
      <w:pPr>
        <w:spacing w:line="276" w:lineRule="auto"/>
        <w:ind w:firstLine="709"/>
        <w:jc w:val="both"/>
      </w:pPr>
      <w:r w:rsidRPr="00097001">
        <w:t xml:space="preserve">N - общее количество хозяйствующих субъектов, действующих на данном товарном рынке. </w:t>
      </w:r>
    </w:p>
    <w:p w:rsidR="001628AB" w:rsidRPr="00097001" w:rsidRDefault="001628AB" w:rsidP="003E273B">
      <w:pPr>
        <w:spacing w:line="276" w:lineRule="auto"/>
        <w:ind w:firstLine="709"/>
        <w:jc w:val="both"/>
        <w:rPr>
          <w:b/>
        </w:rPr>
      </w:pPr>
    </w:p>
    <w:p w:rsidR="002116FC" w:rsidRPr="00097001" w:rsidRDefault="002116FC" w:rsidP="003E273B">
      <w:pPr>
        <w:spacing w:line="276" w:lineRule="auto"/>
        <w:ind w:firstLine="709"/>
        <w:jc w:val="both"/>
        <w:rPr>
          <w:b/>
        </w:rPr>
      </w:pPr>
    </w:p>
    <w:p w:rsidR="00EF79D1" w:rsidRPr="00097001" w:rsidRDefault="00EF79D1" w:rsidP="00CF1519">
      <w:pPr>
        <w:pStyle w:val="ac"/>
        <w:spacing w:after="0" w:line="276" w:lineRule="auto"/>
        <w:ind w:firstLine="709"/>
        <w:jc w:val="center"/>
        <w:rPr>
          <w:b/>
        </w:rPr>
      </w:pPr>
      <w:r w:rsidRPr="00097001">
        <w:rPr>
          <w:b/>
        </w:rPr>
        <w:t>Определение барьеров входа на товарный рынок</w:t>
      </w:r>
    </w:p>
    <w:p w:rsidR="00EF79D1" w:rsidRPr="00097001" w:rsidRDefault="00EF79D1" w:rsidP="003E273B">
      <w:pPr>
        <w:spacing w:line="276" w:lineRule="auto"/>
        <w:ind w:firstLine="709"/>
        <w:jc w:val="both"/>
      </w:pPr>
    </w:p>
    <w:p w:rsidR="00EF79D1" w:rsidRPr="00097001" w:rsidRDefault="00EF79D1" w:rsidP="003E273B">
      <w:pPr>
        <w:spacing w:line="276" w:lineRule="auto"/>
        <w:ind w:firstLine="709"/>
        <w:jc w:val="both"/>
      </w:pPr>
      <w:r w:rsidRPr="00097001">
        <w:t>Процедура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рынке, включает:</w:t>
      </w:r>
    </w:p>
    <w:p w:rsidR="00EF79D1" w:rsidRPr="00097001" w:rsidRDefault="00EF79D1" w:rsidP="003E273B">
      <w:pPr>
        <w:spacing w:line="276" w:lineRule="auto"/>
        <w:ind w:firstLine="709"/>
        <w:jc w:val="both"/>
      </w:pPr>
      <w:r w:rsidRPr="00097001">
        <w:t>- выявление наличия (или отсутствия) барьеров входа на рассматриваемый товарный рынок;</w:t>
      </w:r>
    </w:p>
    <w:p w:rsidR="00EF79D1" w:rsidRPr="00097001" w:rsidRDefault="00EF79D1" w:rsidP="003E273B">
      <w:pPr>
        <w:spacing w:line="276" w:lineRule="auto"/>
        <w:ind w:firstLine="709"/>
        <w:jc w:val="both"/>
      </w:pPr>
      <w:r w:rsidRPr="00097001">
        <w:t>- определение преодолимости выявленных барьеров входа на рассматрива</w:t>
      </w:r>
      <w:r w:rsidRPr="00097001">
        <w:t>е</w:t>
      </w:r>
      <w:r w:rsidRPr="00097001">
        <w:t>мый товарный рынок.</w:t>
      </w:r>
    </w:p>
    <w:p w:rsidR="00EF79D1" w:rsidRPr="00097001" w:rsidRDefault="00EF79D1" w:rsidP="003E273B">
      <w:pPr>
        <w:spacing w:line="276" w:lineRule="auto"/>
        <w:ind w:firstLine="709"/>
        <w:jc w:val="both"/>
      </w:pPr>
      <w:r w:rsidRPr="00097001">
        <w:t>К барьерам входа на товарный рынок относятся: экономические огранич</w:t>
      </w:r>
      <w:r w:rsidRPr="00097001">
        <w:t>е</w:t>
      </w:r>
      <w:r w:rsidRPr="00097001">
        <w:t>ния, административные ограничения, стратегия поведения действующих на рынке хозяйствующих субъектов направленная на создание барьеров входа на рынок, наличие среди действующих на рынке хозяйствующих субъектов вертикально-интегрированных хозяйствующих субъектов, которые приводят к созданию барь</w:t>
      </w:r>
      <w:r w:rsidRPr="00097001">
        <w:t>е</w:t>
      </w:r>
      <w:r w:rsidRPr="00097001">
        <w:t>ров входа на рынок и др.</w:t>
      </w:r>
    </w:p>
    <w:p w:rsidR="009A2F82" w:rsidRPr="00097001" w:rsidRDefault="00EF79D1" w:rsidP="003E273B">
      <w:pPr>
        <w:spacing w:line="276" w:lineRule="auto"/>
        <w:ind w:firstLine="709"/>
        <w:jc w:val="both"/>
      </w:pPr>
      <w:r w:rsidRPr="00097001">
        <w:t xml:space="preserve">В целях определения барьеров входа на товарный рынок проведен анкетный опрос хозяйствующих субъектов. Хозяйствующим субъектам было предложено оценить степень конкуренции на рынке, а так же наличия и преодолимости барьеров, препятствующих входу на товарный рынок. </w:t>
      </w:r>
    </w:p>
    <w:p w:rsidR="00EF79D1" w:rsidRPr="00097001" w:rsidRDefault="007B6C1F" w:rsidP="003E273B">
      <w:pPr>
        <w:spacing w:line="276" w:lineRule="auto"/>
        <w:ind w:firstLine="709"/>
        <w:jc w:val="both"/>
      </w:pPr>
      <w:r w:rsidRPr="00097001">
        <w:lastRenderedPageBreak/>
        <w:t>С</w:t>
      </w:r>
      <w:r w:rsidR="00EF79D1" w:rsidRPr="00097001">
        <w:t xml:space="preserve">тепень конкуренции на рынке </w:t>
      </w:r>
      <w:r w:rsidR="00A805F4" w:rsidRPr="00097001">
        <w:t xml:space="preserve">Обществом </w:t>
      </w:r>
      <w:r w:rsidR="00EF79D1" w:rsidRPr="00097001">
        <w:t>оценивается как конкурентн</w:t>
      </w:r>
      <w:r w:rsidR="00833FA7" w:rsidRPr="00097001">
        <w:t>ый</w:t>
      </w:r>
      <w:r w:rsidR="00EF79D1" w:rsidRPr="00097001">
        <w:t xml:space="preserve"> </w:t>
      </w:r>
      <w:r w:rsidR="00CF296B" w:rsidRPr="00097001">
        <w:t>и умеренно конкурентный.</w:t>
      </w:r>
    </w:p>
    <w:p w:rsidR="00800E84" w:rsidRPr="00097001" w:rsidRDefault="00800E84" w:rsidP="003E273B">
      <w:pPr>
        <w:spacing w:line="276" w:lineRule="auto"/>
        <w:ind w:firstLine="709"/>
        <w:jc w:val="both"/>
        <w:rPr>
          <w:u w:val="single"/>
        </w:rPr>
      </w:pPr>
    </w:p>
    <w:p w:rsidR="00777299" w:rsidRPr="00097001" w:rsidRDefault="009A4D8F" w:rsidP="003E273B">
      <w:pPr>
        <w:spacing w:line="276" w:lineRule="auto"/>
        <w:ind w:firstLine="709"/>
        <w:jc w:val="both"/>
        <w:rPr>
          <w:u w:val="single"/>
        </w:rPr>
      </w:pPr>
      <w:r w:rsidRPr="00097001">
        <w:rPr>
          <w:u w:val="single"/>
        </w:rPr>
        <w:t>Экономические барьеры входа н</w:t>
      </w:r>
      <w:r w:rsidR="00833FA7" w:rsidRPr="00097001">
        <w:rPr>
          <w:u w:val="single"/>
        </w:rPr>
        <w:t>а рынок</w:t>
      </w:r>
      <w:r w:rsidRPr="00097001">
        <w:rPr>
          <w:u w:val="single"/>
        </w:rPr>
        <w:t>:</w:t>
      </w:r>
    </w:p>
    <w:p w:rsidR="00777299" w:rsidRPr="00097001" w:rsidRDefault="00DA100D" w:rsidP="003E273B">
      <w:pPr>
        <w:spacing w:line="276" w:lineRule="auto"/>
        <w:ind w:firstLine="709"/>
        <w:jc w:val="both"/>
      </w:pPr>
      <w:r w:rsidRPr="00097001">
        <w:t xml:space="preserve">          </w:t>
      </w:r>
      <w:r w:rsidR="009A4D8F" w:rsidRPr="00097001">
        <w:t xml:space="preserve"> - </w:t>
      </w:r>
      <w:r w:rsidR="00833FA7" w:rsidRPr="00097001">
        <w:t>необходимость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CF296B" w:rsidRPr="00097001" w:rsidRDefault="00CF296B" w:rsidP="003E273B">
      <w:pPr>
        <w:spacing w:line="276" w:lineRule="auto"/>
        <w:ind w:firstLine="709"/>
        <w:jc w:val="both"/>
      </w:pPr>
      <w:r w:rsidRPr="00097001">
        <w:t xml:space="preserve">          - издержки выхода с рынка, включающие инвестиции, которые невозможно возместить при прекращении хозяйственной деятельности.</w:t>
      </w:r>
    </w:p>
    <w:p w:rsidR="00CF296B" w:rsidRPr="00097001" w:rsidRDefault="00CF296B" w:rsidP="003E273B">
      <w:pPr>
        <w:spacing w:line="276" w:lineRule="auto"/>
        <w:ind w:firstLine="709"/>
        <w:jc w:val="both"/>
        <w:rPr>
          <w:u w:val="single"/>
        </w:rPr>
      </w:pPr>
    </w:p>
    <w:p w:rsidR="00CF296B" w:rsidRPr="00097001" w:rsidRDefault="00CF296B" w:rsidP="003E273B">
      <w:pPr>
        <w:spacing w:line="276" w:lineRule="auto"/>
        <w:ind w:firstLine="709"/>
        <w:jc w:val="both"/>
        <w:rPr>
          <w:u w:val="single"/>
        </w:rPr>
      </w:pPr>
      <w:r w:rsidRPr="00097001">
        <w:rPr>
          <w:u w:val="single"/>
        </w:rPr>
        <w:t xml:space="preserve"> Административные барьеры входа на рынок:</w:t>
      </w:r>
    </w:p>
    <w:p w:rsidR="00CF296B" w:rsidRPr="00097001" w:rsidRDefault="00CF296B" w:rsidP="003E273B">
      <w:pPr>
        <w:spacing w:line="276" w:lineRule="auto"/>
        <w:ind w:firstLine="709"/>
        <w:jc w:val="both"/>
      </w:pPr>
      <w:r w:rsidRPr="00097001">
        <w:t xml:space="preserve">           - </w:t>
      </w:r>
      <w:r w:rsidR="00247B27" w:rsidRPr="00097001">
        <w:t>условия лицензирования</w:t>
      </w:r>
      <w:r w:rsidRPr="00097001">
        <w:t>;</w:t>
      </w:r>
    </w:p>
    <w:p w:rsidR="00CF296B" w:rsidRPr="00097001" w:rsidRDefault="00CF296B" w:rsidP="003E273B">
      <w:pPr>
        <w:spacing w:line="276" w:lineRule="auto"/>
        <w:ind w:firstLine="709"/>
        <w:jc w:val="both"/>
      </w:pPr>
      <w:r w:rsidRPr="00097001">
        <w:t xml:space="preserve">           - экологические ограничения;</w:t>
      </w:r>
    </w:p>
    <w:p w:rsidR="00247B27" w:rsidRPr="00097001" w:rsidRDefault="00247B27" w:rsidP="003E273B">
      <w:pPr>
        <w:spacing w:line="276" w:lineRule="auto"/>
        <w:ind w:firstLine="709"/>
        <w:jc w:val="both"/>
      </w:pPr>
      <w:r w:rsidRPr="00097001">
        <w:t xml:space="preserve">          - трудности в получении земельных участков;</w:t>
      </w:r>
    </w:p>
    <w:p w:rsidR="00CF296B" w:rsidRPr="00097001" w:rsidRDefault="00CF296B" w:rsidP="000D38F3">
      <w:pPr>
        <w:spacing w:line="276" w:lineRule="auto"/>
        <w:ind w:firstLine="709"/>
        <w:jc w:val="both"/>
      </w:pPr>
      <w:r w:rsidRPr="00097001">
        <w:t xml:space="preserve">          - стандарты, предъявляемые к качеству.</w:t>
      </w:r>
    </w:p>
    <w:p w:rsidR="00777299" w:rsidRPr="00097001" w:rsidRDefault="00777299" w:rsidP="003E273B">
      <w:pPr>
        <w:spacing w:line="276" w:lineRule="auto"/>
        <w:ind w:firstLine="709"/>
        <w:jc w:val="both"/>
      </w:pPr>
    </w:p>
    <w:p w:rsidR="00E55CF9" w:rsidRPr="00097001" w:rsidRDefault="00E55CF9" w:rsidP="00CF1519">
      <w:pPr>
        <w:pStyle w:val="ac"/>
        <w:spacing w:after="0" w:line="276" w:lineRule="auto"/>
        <w:ind w:firstLine="709"/>
        <w:jc w:val="center"/>
        <w:rPr>
          <w:b/>
        </w:rPr>
      </w:pPr>
      <w:r w:rsidRPr="00097001">
        <w:rPr>
          <w:b/>
        </w:rPr>
        <w:t>Оценка состояния конкуренции на товарном рынке</w:t>
      </w:r>
    </w:p>
    <w:p w:rsidR="00E55CF9" w:rsidRPr="00097001" w:rsidRDefault="00E55CF9" w:rsidP="003E27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7001">
        <w:t>Оценка состояния конкуренции на товарном рынке, пров</w:t>
      </w:r>
      <w:r w:rsidRPr="00097001">
        <w:t>е</w:t>
      </w:r>
      <w:r w:rsidRPr="00097001">
        <w:t>денная в соответствии с пунктом 9.1 Порядка и на основании данных о рыночной концентрации и мнений участников рынка о преодолимости барьеров входа на р</w:t>
      </w:r>
      <w:r w:rsidRPr="00097001">
        <w:t>ы</w:t>
      </w:r>
      <w:r w:rsidRPr="00097001">
        <w:t>нок позволяет сделать вывод о том, что исследованный рынок следует отнести к рынку с не развитой конкуренцией.</w:t>
      </w:r>
    </w:p>
    <w:p w:rsidR="00E101FD" w:rsidRPr="00097001" w:rsidRDefault="00E101FD" w:rsidP="00CF1519">
      <w:pPr>
        <w:spacing w:line="276" w:lineRule="auto"/>
        <w:jc w:val="both"/>
        <w:rPr>
          <w:color w:val="800080"/>
        </w:rPr>
      </w:pPr>
    </w:p>
    <w:p w:rsidR="000D38F3" w:rsidRPr="00097001" w:rsidRDefault="000D38F3" w:rsidP="003E273B">
      <w:pPr>
        <w:pStyle w:val="ConsPlusNonformat"/>
        <w:tabs>
          <w:tab w:val="left" w:pos="822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1D0" w:rsidRPr="00097001" w:rsidRDefault="00CF1519" w:rsidP="003E273B">
      <w:pPr>
        <w:pStyle w:val="ConsPlusNonformat"/>
        <w:tabs>
          <w:tab w:val="left" w:pos="822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01">
        <w:rPr>
          <w:rFonts w:ascii="Times New Roman" w:hAnsi="Times New Roman" w:cs="Times New Roman"/>
          <w:sz w:val="24"/>
          <w:szCs w:val="24"/>
        </w:rPr>
        <w:t>Главный с</w:t>
      </w:r>
      <w:r w:rsidR="004131D0" w:rsidRPr="00097001">
        <w:rPr>
          <w:rFonts w:ascii="Times New Roman" w:hAnsi="Times New Roman" w:cs="Times New Roman"/>
          <w:sz w:val="24"/>
          <w:szCs w:val="24"/>
        </w:rPr>
        <w:t xml:space="preserve">пециалист-эксперт                                                                   </w:t>
      </w:r>
      <w:r w:rsidR="000D38F3" w:rsidRPr="000970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1D0" w:rsidRPr="00097001">
        <w:rPr>
          <w:rFonts w:ascii="Times New Roman" w:hAnsi="Times New Roman" w:cs="Times New Roman"/>
          <w:sz w:val="24"/>
          <w:szCs w:val="24"/>
        </w:rPr>
        <w:t xml:space="preserve">  </w:t>
      </w:r>
      <w:r w:rsidRPr="00097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66B8">
        <w:rPr>
          <w:rFonts w:ascii="Times New Roman" w:hAnsi="Times New Roman" w:cs="Times New Roman"/>
          <w:sz w:val="24"/>
          <w:szCs w:val="24"/>
        </w:rPr>
        <w:t>……</w:t>
      </w:r>
    </w:p>
    <w:p w:rsidR="00E101FD" w:rsidRPr="00097001" w:rsidRDefault="004131D0" w:rsidP="0009700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01">
        <w:rPr>
          <w:rFonts w:ascii="Times New Roman" w:hAnsi="Times New Roman" w:cs="Times New Roman"/>
          <w:sz w:val="24"/>
          <w:szCs w:val="24"/>
        </w:rPr>
        <w:t>Ненецкого УФАС России</w:t>
      </w:r>
    </w:p>
    <w:sectPr w:rsidR="00E101FD" w:rsidRPr="00097001" w:rsidSect="00132219">
      <w:headerReference w:type="default" r:id="rId13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A5" w:rsidRDefault="00265AA5" w:rsidP="0000265D">
      <w:r>
        <w:separator/>
      </w:r>
    </w:p>
  </w:endnote>
  <w:endnote w:type="continuationSeparator" w:id="1">
    <w:p w:rsidR="00265AA5" w:rsidRDefault="00265AA5" w:rsidP="000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A5" w:rsidRDefault="00265AA5" w:rsidP="0000265D">
      <w:r>
        <w:separator/>
      </w:r>
    </w:p>
  </w:footnote>
  <w:footnote w:type="continuationSeparator" w:id="1">
    <w:p w:rsidR="00265AA5" w:rsidRDefault="00265AA5" w:rsidP="000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32" w:rsidRDefault="00EA4832">
    <w:pPr>
      <w:pStyle w:val="a5"/>
      <w:jc w:val="center"/>
    </w:pPr>
    <w:fldSimple w:instr=" PAGE   \* MERGEFORMAT ">
      <w:r w:rsidR="003766B8">
        <w:rPr>
          <w:noProof/>
        </w:rPr>
        <w:t>2</w:t>
      </w:r>
    </w:fldSimple>
  </w:p>
  <w:p w:rsidR="00EA4832" w:rsidRDefault="00EA48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E87"/>
    <w:multiLevelType w:val="hybridMultilevel"/>
    <w:tmpl w:val="6742CF68"/>
    <w:lvl w:ilvl="0" w:tplc="E5B6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5FAA"/>
    <w:multiLevelType w:val="hybridMultilevel"/>
    <w:tmpl w:val="FF6A5130"/>
    <w:lvl w:ilvl="0" w:tplc="6B842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23C"/>
    <w:multiLevelType w:val="hybridMultilevel"/>
    <w:tmpl w:val="59208006"/>
    <w:lvl w:ilvl="0" w:tplc="5FAE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22482"/>
    <w:multiLevelType w:val="hybridMultilevel"/>
    <w:tmpl w:val="68F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1D16"/>
    <w:multiLevelType w:val="hybridMultilevel"/>
    <w:tmpl w:val="DC9A98E4"/>
    <w:lvl w:ilvl="0" w:tplc="7804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02"/>
    <w:rsid w:val="00000A27"/>
    <w:rsid w:val="00000BED"/>
    <w:rsid w:val="0000265D"/>
    <w:rsid w:val="00005C74"/>
    <w:rsid w:val="0001020B"/>
    <w:rsid w:val="00011B1D"/>
    <w:rsid w:val="00011C45"/>
    <w:rsid w:val="00011CF7"/>
    <w:rsid w:val="0001284B"/>
    <w:rsid w:val="000161C9"/>
    <w:rsid w:val="00017F5D"/>
    <w:rsid w:val="000254CA"/>
    <w:rsid w:val="00026D29"/>
    <w:rsid w:val="00032082"/>
    <w:rsid w:val="00033BE3"/>
    <w:rsid w:val="00036FA5"/>
    <w:rsid w:val="00043AD3"/>
    <w:rsid w:val="00050F72"/>
    <w:rsid w:val="00055ACB"/>
    <w:rsid w:val="000560FF"/>
    <w:rsid w:val="000636D5"/>
    <w:rsid w:val="00064CBD"/>
    <w:rsid w:val="00065782"/>
    <w:rsid w:val="000668B1"/>
    <w:rsid w:val="00072655"/>
    <w:rsid w:val="000772C2"/>
    <w:rsid w:val="00080322"/>
    <w:rsid w:val="00081218"/>
    <w:rsid w:val="0008379D"/>
    <w:rsid w:val="00084C15"/>
    <w:rsid w:val="0008726D"/>
    <w:rsid w:val="0009232F"/>
    <w:rsid w:val="00097001"/>
    <w:rsid w:val="000A1539"/>
    <w:rsid w:val="000A2B60"/>
    <w:rsid w:val="000A3DC9"/>
    <w:rsid w:val="000A70A0"/>
    <w:rsid w:val="000C1285"/>
    <w:rsid w:val="000C5167"/>
    <w:rsid w:val="000C5A8F"/>
    <w:rsid w:val="000D38F3"/>
    <w:rsid w:val="000D47E9"/>
    <w:rsid w:val="000E05EE"/>
    <w:rsid w:val="000E3DC1"/>
    <w:rsid w:val="000E4070"/>
    <w:rsid w:val="000F2DEE"/>
    <w:rsid w:val="000F414C"/>
    <w:rsid w:val="000F4F40"/>
    <w:rsid w:val="00103DA6"/>
    <w:rsid w:val="001041FA"/>
    <w:rsid w:val="00104786"/>
    <w:rsid w:val="00105BFA"/>
    <w:rsid w:val="001070E6"/>
    <w:rsid w:val="001076A7"/>
    <w:rsid w:val="0011077B"/>
    <w:rsid w:val="00114427"/>
    <w:rsid w:val="00115409"/>
    <w:rsid w:val="001171FA"/>
    <w:rsid w:val="00117DC7"/>
    <w:rsid w:val="001210C2"/>
    <w:rsid w:val="00124A61"/>
    <w:rsid w:val="00126636"/>
    <w:rsid w:val="00132219"/>
    <w:rsid w:val="00136A30"/>
    <w:rsid w:val="00141B3B"/>
    <w:rsid w:val="00141E5D"/>
    <w:rsid w:val="00144AF1"/>
    <w:rsid w:val="00147129"/>
    <w:rsid w:val="00147691"/>
    <w:rsid w:val="00153A7A"/>
    <w:rsid w:val="00161083"/>
    <w:rsid w:val="001628AB"/>
    <w:rsid w:val="001655B1"/>
    <w:rsid w:val="001754A9"/>
    <w:rsid w:val="0017556F"/>
    <w:rsid w:val="00176252"/>
    <w:rsid w:val="0019548E"/>
    <w:rsid w:val="001A3435"/>
    <w:rsid w:val="001A3C13"/>
    <w:rsid w:val="001A5301"/>
    <w:rsid w:val="001A650F"/>
    <w:rsid w:val="001B0797"/>
    <w:rsid w:val="001B5624"/>
    <w:rsid w:val="001C0001"/>
    <w:rsid w:val="001C1090"/>
    <w:rsid w:val="001C3F5B"/>
    <w:rsid w:val="001D45CF"/>
    <w:rsid w:val="001E1236"/>
    <w:rsid w:val="001E3C02"/>
    <w:rsid w:val="001E5935"/>
    <w:rsid w:val="001E6B0B"/>
    <w:rsid w:val="00200C0D"/>
    <w:rsid w:val="0020152A"/>
    <w:rsid w:val="00210CB5"/>
    <w:rsid w:val="002116FC"/>
    <w:rsid w:val="00211D6C"/>
    <w:rsid w:val="00227E9D"/>
    <w:rsid w:val="00242CA9"/>
    <w:rsid w:val="00243C51"/>
    <w:rsid w:val="00245D94"/>
    <w:rsid w:val="0024716D"/>
    <w:rsid w:val="002475DD"/>
    <w:rsid w:val="00247AAE"/>
    <w:rsid w:val="00247B27"/>
    <w:rsid w:val="002550BD"/>
    <w:rsid w:val="00255AA4"/>
    <w:rsid w:val="002578C0"/>
    <w:rsid w:val="0026102E"/>
    <w:rsid w:val="00265AA5"/>
    <w:rsid w:val="00271DDF"/>
    <w:rsid w:val="00275E41"/>
    <w:rsid w:val="00277637"/>
    <w:rsid w:val="00280E4F"/>
    <w:rsid w:val="002833C3"/>
    <w:rsid w:val="0029026A"/>
    <w:rsid w:val="00293486"/>
    <w:rsid w:val="002944FC"/>
    <w:rsid w:val="00294954"/>
    <w:rsid w:val="002961C0"/>
    <w:rsid w:val="002A03F7"/>
    <w:rsid w:val="002A1806"/>
    <w:rsid w:val="002A2F63"/>
    <w:rsid w:val="002A482F"/>
    <w:rsid w:val="002A6FC1"/>
    <w:rsid w:val="002B2E8F"/>
    <w:rsid w:val="002B6B3E"/>
    <w:rsid w:val="002C1753"/>
    <w:rsid w:val="002C3790"/>
    <w:rsid w:val="002C65C8"/>
    <w:rsid w:val="002D03A7"/>
    <w:rsid w:val="002D6671"/>
    <w:rsid w:val="002E4C47"/>
    <w:rsid w:val="002E7E36"/>
    <w:rsid w:val="002F6C8A"/>
    <w:rsid w:val="003003DD"/>
    <w:rsid w:val="003057B8"/>
    <w:rsid w:val="00307745"/>
    <w:rsid w:val="0031221C"/>
    <w:rsid w:val="003150A6"/>
    <w:rsid w:val="00325EC5"/>
    <w:rsid w:val="00327E2D"/>
    <w:rsid w:val="003300B1"/>
    <w:rsid w:val="0033053E"/>
    <w:rsid w:val="00330D4B"/>
    <w:rsid w:val="00331A34"/>
    <w:rsid w:val="00337739"/>
    <w:rsid w:val="003445D5"/>
    <w:rsid w:val="00347083"/>
    <w:rsid w:val="00352792"/>
    <w:rsid w:val="0035338A"/>
    <w:rsid w:val="003556A1"/>
    <w:rsid w:val="003608CC"/>
    <w:rsid w:val="00360E8B"/>
    <w:rsid w:val="0036227F"/>
    <w:rsid w:val="003629D2"/>
    <w:rsid w:val="003632AE"/>
    <w:rsid w:val="00363587"/>
    <w:rsid w:val="00367080"/>
    <w:rsid w:val="003702E6"/>
    <w:rsid w:val="003762B0"/>
    <w:rsid w:val="003766B8"/>
    <w:rsid w:val="00377A4F"/>
    <w:rsid w:val="003816F1"/>
    <w:rsid w:val="003829BE"/>
    <w:rsid w:val="003840DA"/>
    <w:rsid w:val="003928A1"/>
    <w:rsid w:val="00392A84"/>
    <w:rsid w:val="00394CC2"/>
    <w:rsid w:val="003A2AE3"/>
    <w:rsid w:val="003A7096"/>
    <w:rsid w:val="003A7AFE"/>
    <w:rsid w:val="003C1E3B"/>
    <w:rsid w:val="003C64E0"/>
    <w:rsid w:val="003D1C01"/>
    <w:rsid w:val="003D2044"/>
    <w:rsid w:val="003D3732"/>
    <w:rsid w:val="003D7EED"/>
    <w:rsid w:val="003E177C"/>
    <w:rsid w:val="003E273B"/>
    <w:rsid w:val="003E5088"/>
    <w:rsid w:val="003E558C"/>
    <w:rsid w:val="003E5A56"/>
    <w:rsid w:val="003E6449"/>
    <w:rsid w:val="003F3257"/>
    <w:rsid w:val="003F6019"/>
    <w:rsid w:val="003F7890"/>
    <w:rsid w:val="00401EF4"/>
    <w:rsid w:val="00406428"/>
    <w:rsid w:val="00410E96"/>
    <w:rsid w:val="004111D4"/>
    <w:rsid w:val="00413004"/>
    <w:rsid w:val="004131D0"/>
    <w:rsid w:val="0041619D"/>
    <w:rsid w:val="0041750E"/>
    <w:rsid w:val="00417CBB"/>
    <w:rsid w:val="00421D7F"/>
    <w:rsid w:val="00433AFB"/>
    <w:rsid w:val="004400DA"/>
    <w:rsid w:val="004403BA"/>
    <w:rsid w:val="00442669"/>
    <w:rsid w:val="00442746"/>
    <w:rsid w:val="00447F1E"/>
    <w:rsid w:val="00456D6F"/>
    <w:rsid w:val="00462741"/>
    <w:rsid w:val="00471DC9"/>
    <w:rsid w:val="0047592A"/>
    <w:rsid w:val="00485857"/>
    <w:rsid w:val="00487139"/>
    <w:rsid w:val="004904FB"/>
    <w:rsid w:val="004A0808"/>
    <w:rsid w:val="004B3FE2"/>
    <w:rsid w:val="004B71BB"/>
    <w:rsid w:val="004C25A7"/>
    <w:rsid w:val="004C6C66"/>
    <w:rsid w:val="004D05BD"/>
    <w:rsid w:val="004D3557"/>
    <w:rsid w:val="004D64AD"/>
    <w:rsid w:val="004E0FBF"/>
    <w:rsid w:val="004E1E41"/>
    <w:rsid w:val="004E5378"/>
    <w:rsid w:val="004E6AAB"/>
    <w:rsid w:val="004E6D86"/>
    <w:rsid w:val="004E77D3"/>
    <w:rsid w:val="004F06B5"/>
    <w:rsid w:val="004F3AAD"/>
    <w:rsid w:val="004F473E"/>
    <w:rsid w:val="004F7334"/>
    <w:rsid w:val="0050402E"/>
    <w:rsid w:val="00504CF3"/>
    <w:rsid w:val="00504F24"/>
    <w:rsid w:val="00506702"/>
    <w:rsid w:val="00512A4F"/>
    <w:rsid w:val="00514889"/>
    <w:rsid w:val="00520590"/>
    <w:rsid w:val="00523624"/>
    <w:rsid w:val="00526186"/>
    <w:rsid w:val="00531390"/>
    <w:rsid w:val="005316B4"/>
    <w:rsid w:val="00531CE2"/>
    <w:rsid w:val="00531EDB"/>
    <w:rsid w:val="005351FF"/>
    <w:rsid w:val="00545B82"/>
    <w:rsid w:val="00545D91"/>
    <w:rsid w:val="00545D94"/>
    <w:rsid w:val="00550067"/>
    <w:rsid w:val="00552769"/>
    <w:rsid w:val="00552E44"/>
    <w:rsid w:val="005553B1"/>
    <w:rsid w:val="00555C23"/>
    <w:rsid w:val="005579A0"/>
    <w:rsid w:val="00562F70"/>
    <w:rsid w:val="00563BF4"/>
    <w:rsid w:val="00570DC3"/>
    <w:rsid w:val="005710B6"/>
    <w:rsid w:val="00575129"/>
    <w:rsid w:val="00577946"/>
    <w:rsid w:val="005807ED"/>
    <w:rsid w:val="0058105D"/>
    <w:rsid w:val="005822BC"/>
    <w:rsid w:val="005866C5"/>
    <w:rsid w:val="005878D4"/>
    <w:rsid w:val="005A2254"/>
    <w:rsid w:val="005A2DA8"/>
    <w:rsid w:val="005A41CD"/>
    <w:rsid w:val="005A6CC9"/>
    <w:rsid w:val="005A7606"/>
    <w:rsid w:val="005B4574"/>
    <w:rsid w:val="005B5F1F"/>
    <w:rsid w:val="005D33BE"/>
    <w:rsid w:val="005D59F0"/>
    <w:rsid w:val="005E0A14"/>
    <w:rsid w:val="005E4773"/>
    <w:rsid w:val="005E5F4B"/>
    <w:rsid w:val="005F173E"/>
    <w:rsid w:val="005F2142"/>
    <w:rsid w:val="006016C0"/>
    <w:rsid w:val="006027A3"/>
    <w:rsid w:val="00603E8B"/>
    <w:rsid w:val="0061085A"/>
    <w:rsid w:val="00612B13"/>
    <w:rsid w:val="00614A7E"/>
    <w:rsid w:val="006155AB"/>
    <w:rsid w:val="006157C3"/>
    <w:rsid w:val="00625820"/>
    <w:rsid w:val="006360FC"/>
    <w:rsid w:val="00637985"/>
    <w:rsid w:val="00642270"/>
    <w:rsid w:val="00642403"/>
    <w:rsid w:val="00642D21"/>
    <w:rsid w:val="00650ABB"/>
    <w:rsid w:val="006524FC"/>
    <w:rsid w:val="00652796"/>
    <w:rsid w:val="006569DB"/>
    <w:rsid w:val="00657254"/>
    <w:rsid w:val="00660A34"/>
    <w:rsid w:val="00662696"/>
    <w:rsid w:val="00663B7F"/>
    <w:rsid w:val="006648CF"/>
    <w:rsid w:val="00664EC1"/>
    <w:rsid w:val="006659B1"/>
    <w:rsid w:val="00674AC8"/>
    <w:rsid w:val="00675DEB"/>
    <w:rsid w:val="00682B73"/>
    <w:rsid w:val="0068302E"/>
    <w:rsid w:val="006864ED"/>
    <w:rsid w:val="006933EF"/>
    <w:rsid w:val="00693FEC"/>
    <w:rsid w:val="00695E32"/>
    <w:rsid w:val="00696B7B"/>
    <w:rsid w:val="006A049F"/>
    <w:rsid w:val="006A1439"/>
    <w:rsid w:val="006A15DE"/>
    <w:rsid w:val="006B7D79"/>
    <w:rsid w:val="006C5985"/>
    <w:rsid w:val="006C79F8"/>
    <w:rsid w:val="006D12C6"/>
    <w:rsid w:val="006D4C24"/>
    <w:rsid w:val="006D519D"/>
    <w:rsid w:val="006E5973"/>
    <w:rsid w:val="006E625A"/>
    <w:rsid w:val="006F040E"/>
    <w:rsid w:val="006F18AB"/>
    <w:rsid w:val="006F4D34"/>
    <w:rsid w:val="006F7081"/>
    <w:rsid w:val="00701F6C"/>
    <w:rsid w:val="0070453C"/>
    <w:rsid w:val="00704A64"/>
    <w:rsid w:val="00713BEC"/>
    <w:rsid w:val="00715A84"/>
    <w:rsid w:val="00720851"/>
    <w:rsid w:val="00730531"/>
    <w:rsid w:val="00730AE4"/>
    <w:rsid w:val="007324A2"/>
    <w:rsid w:val="007330C5"/>
    <w:rsid w:val="00737D09"/>
    <w:rsid w:val="0074040D"/>
    <w:rsid w:val="00743928"/>
    <w:rsid w:val="00744A81"/>
    <w:rsid w:val="007518AF"/>
    <w:rsid w:val="0075295A"/>
    <w:rsid w:val="0075472A"/>
    <w:rsid w:val="00757BF3"/>
    <w:rsid w:val="0076174A"/>
    <w:rsid w:val="0076366F"/>
    <w:rsid w:val="00771135"/>
    <w:rsid w:val="00775D92"/>
    <w:rsid w:val="00777245"/>
    <w:rsid w:val="00777299"/>
    <w:rsid w:val="00780622"/>
    <w:rsid w:val="00783857"/>
    <w:rsid w:val="0078749D"/>
    <w:rsid w:val="0079775D"/>
    <w:rsid w:val="007A425C"/>
    <w:rsid w:val="007A5335"/>
    <w:rsid w:val="007A555D"/>
    <w:rsid w:val="007A7C88"/>
    <w:rsid w:val="007B1FC5"/>
    <w:rsid w:val="007B50CE"/>
    <w:rsid w:val="007B6C1F"/>
    <w:rsid w:val="007B7DC4"/>
    <w:rsid w:val="007C17DB"/>
    <w:rsid w:val="007C6011"/>
    <w:rsid w:val="007C607F"/>
    <w:rsid w:val="007D0C77"/>
    <w:rsid w:val="007D1950"/>
    <w:rsid w:val="007D1B46"/>
    <w:rsid w:val="007D7DF1"/>
    <w:rsid w:val="007E5283"/>
    <w:rsid w:val="007E55B8"/>
    <w:rsid w:val="00800E84"/>
    <w:rsid w:val="008026F9"/>
    <w:rsid w:val="00803E77"/>
    <w:rsid w:val="00814ED0"/>
    <w:rsid w:val="0082008A"/>
    <w:rsid w:val="00822CE6"/>
    <w:rsid w:val="00822E8C"/>
    <w:rsid w:val="00823FD1"/>
    <w:rsid w:val="00825A43"/>
    <w:rsid w:val="00826E16"/>
    <w:rsid w:val="00830161"/>
    <w:rsid w:val="008317CD"/>
    <w:rsid w:val="00833255"/>
    <w:rsid w:val="00833FA7"/>
    <w:rsid w:val="00844545"/>
    <w:rsid w:val="00846D96"/>
    <w:rsid w:val="00850924"/>
    <w:rsid w:val="00851F9F"/>
    <w:rsid w:val="0085347C"/>
    <w:rsid w:val="00854743"/>
    <w:rsid w:val="00855B14"/>
    <w:rsid w:val="00855DBA"/>
    <w:rsid w:val="0085682F"/>
    <w:rsid w:val="00857CBD"/>
    <w:rsid w:val="008624A6"/>
    <w:rsid w:val="008648C4"/>
    <w:rsid w:val="008672D4"/>
    <w:rsid w:val="008721B6"/>
    <w:rsid w:val="00872274"/>
    <w:rsid w:val="00881C67"/>
    <w:rsid w:val="00884030"/>
    <w:rsid w:val="00887948"/>
    <w:rsid w:val="00890AB7"/>
    <w:rsid w:val="00890C65"/>
    <w:rsid w:val="008950A4"/>
    <w:rsid w:val="008973B5"/>
    <w:rsid w:val="0089778A"/>
    <w:rsid w:val="008A0ED4"/>
    <w:rsid w:val="008A3495"/>
    <w:rsid w:val="008B0076"/>
    <w:rsid w:val="008C024B"/>
    <w:rsid w:val="008C0A9B"/>
    <w:rsid w:val="008C0C60"/>
    <w:rsid w:val="008C49F6"/>
    <w:rsid w:val="008C6F16"/>
    <w:rsid w:val="008C7958"/>
    <w:rsid w:val="008D12F8"/>
    <w:rsid w:val="008D2CD8"/>
    <w:rsid w:val="008D5A23"/>
    <w:rsid w:val="008E77D7"/>
    <w:rsid w:val="008F11B4"/>
    <w:rsid w:val="00902588"/>
    <w:rsid w:val="00902B9C"/>
    <w:rsid w:val="0090336A"/>
    <w:rsid w:val="009066BC"/>
    <w:rsid w:val="009104B3"/>
    <w:rsid w:val="009224C9"/>
    <w:rsid w:val="00930804"/>
    <w:rsid w:val="00932E2A"/>
    <w:rsid w:val="009330A2"/>
    <w:rsid w:val="00933CA7"/>
    <w:rsid w:val="009369A8"/>
    <w:rsid w:val="00942663"/>
    <w:rsid w:val="009430E7"/>
    <w:rsid w:val="0094332F"/>
    <w:rsid w:val="009503F1"/>
    <w:rsid w:val="00953B46"/>
    <w:rsid w:val="009612DB"/>
    <w:rsid w:val="0096183A"/>
    <w:rsid w:val="00962025"/>
    <w:rsid w:val="00963318"/>
    <w:rsid w:val="0096348B"/>
    <w:rsid w:val="00963646"/>
    <w:rsid w:val="00963F68"/>
    <w:rsid w:val="0096650E"/>
    <w:rsid w:val="00967FF0"/>
    <w:rsid w:val="00985CD8"/>
    <w:rsid w:val="00992B9D"/>
    <w:rsid w:val="00993303"/>
    <w:rsid w:val="0099431F"/>
    <w:rsid w:val="00995125"/>
    <w:rsid w:val="00996585"/>
    <w:rsid w:val="00997BA4"/>
    <w:rsid w:val="009A2596"/>
    <w:rsid w:val="009A2F82"/>
    <w:rsid w:val="009A4D8F"/>
    <w:rsid w:val="009B0907"/>
    <w:rsid w:val="009B180D"/>
    <w:rsid w:val="009B49C8"/>
    <w:rsid w:val="009B657F"/>
    <w:rsid w:val="009C1E06"/>
    <w:rsid w:val="009D36D3"/>
    <w:rsid w:val="009E36E6"/>
    <w:rsid w:val="009F000B"/>
    <w:rsid w:val="009F25B8"/>
    <w:rsid w:val="009F377E"/>
    <w:rsid w:val="009F4C05"/>
    <w:rsid w:val="00A014CF"/>
    <w:rsid w:val="00A02457"/>
    <w:rsid w:val="00A12C62"/>
    <w:rsid w:val="00A13A23"/>
    <w:rsid w:val="00A22443"/>
    <w:rsid w:val="00A2407B"/>
    <w:rsid w:val="00A24A7F"/>
    <w:rsid w:val="00A301D8"/>
    <w:rsid w:val="00A30489"/>
    <w:rsid w:val="00A320E7"/>
    <w:rsid w:val="00A34E81"/>
    <w:rsid w:val="00A41EE3"/>
    <w:rsid w:val="00A446DD"/>
    <w:rsid w:val="00A513DB"/>
    <w:rsid w:val="00A539F3"/>
    <w:rsid w:val="00A53A01"/>
    <w:rsid w:val="00A561CB"/>
    <w:rsid w:val="00A607EB"/>
    <w:rsid w:val="00A65392"/>
    <w:rsid w:val="00A66FB0"/>
    <w:rsid w:val="00A72857"/>
    <w:rsid w:val="00A76436"/>
    <w:rsid w:val="00A76774"/>
    <w:rsid w:val="00A77322"/>
    <w:rsid w:val="00A805F4"/>
    <w:rsid w:val="00A808C1"/>
    <w:rsid w:val="00A827BD"/>
    <w:rsid w:val="00A85DBB"/>
    <w:rsid w:val="00A87B64"/>
    <w:rsid w:val="00A91D8B"/>
    <w:rsid w:val="00A93A02"/>
    <w:rsid w:val="00A95702"/>
    <w:rsid w:val="00A9693B"/>
    <w:rsid w:val="00A97610"/>
    <w:rsid w:val="00AA2D89"/>
    <w:rsid w:val="00AB0C6C"/>
    <w:rsid w:val="00AB6349"/>
    <w:rsid w:val="00AB6AA9"/>
    <w:rsid w:val="00AB6C27"/>
    <w:rsid w:val="00AB71AC"/>
    <w:rsid w:val="00AC18E2"/>
    <w:rsid w:val="00AC2392"/>
    <w:rsid w:val="00AC7C62"/>
    <w:rsid w:val="00AD3395"/>
    <w:rsid w:val="00AD5472"/>
    <w:rsid w:val="00AD6840"/>
    <w:rsid w:val="00AE254E"/>
    <w:rsid w:val="00AE2975"/>
    <w:rsid w:val="00AE4A33"/>
    <w:rsid w:val="00AE654E"/>
    <w:rsid w:val="00AE675A"/>
    <w:rsid w:val="00AF0C34"/>
    <w:rsid w:val="00AF2A62"/>
    <w:rsid w:val="00AF393A"/>
    <w:rsid w:val="00AF3CA4"/>
    <w:rsid w:val="00AF4330"/>
    <w:rsid w:val="00B04B4F"/>
    <w:rsid w:val="00B05328"/>
    <w:rsid w:val="00B105C7"/>
    <w:rsid w:val="00B11FA5"/>
    <w:rsid w:val="00B133EF"/>
    <w:rsid w:val="00B13F68"/>
    <w:rsid w:val="00B17512"/>
    <w:rsid w:val="00B21A6D"/>
    <w:rsid w:val="00B261A7"/>
    <w:rsid w:val="00B26268"/>
    <w:rsid w:val="00B36584"/>
    <w:rsid w:val="00B42632"/>
    <w:rsid w:val="00B44BF3"/>
    <w:rsid w:val="00B44D53"/>
    <w:rsid w:val="00B47E90"/>
    <w:rsid w:val="00B509A4"/>
    <w:rsid w:val="00B50FE0"/>
    <w:rsid w:val="00B51C69"/>
    <w:rsid w:val="00B61097"/>
    <w:rsid w:val="00B6199F"/>
    <w:rsid w:val="00B629D7"/>
    <w:rsid w:val="00B644A3"/>
    <w:rsid w:val="00B6665A"/>
    <w:rsid w:val="00B73630"/>
    <w:rsid w:val="00B74A9B"/>
    <w:rsid w:val="00B80BDF"/>
    <w:rsid w:val="00B87A15"/>
    <w:rsid w:val="00B87FFE"/>
    <w:rsid w:val="00B91819"/>
    <w:rsid w:val="00B93761"/>
    <w:rsid w:val="00B94A3B"/>
    <w:rsid w:val="00BA2F56"/>
    <w:rsid w:val="00BC1701"/>
    <w:rsid w:val="00BC2681"/>
    <w:rsid w:val="00BC359A"/>
    <w:rsid w:val="00BC3F67"/>
    <w:rsid w:val="00BC43F4"/>
    <w:rsid w:val="00BC4DB2"/>
    <w:rsid w:val="00BC617A"/>
    <w:rsid w:val="00BC78AC"/>
    <w:rsid w:val="00BD0099"/>
    <w:rsid w:val="00BD04D7"/>
    <w:rsid w:val="00BD110A"/>
    <w:rsid w:val="00BD2381"/>
    <w:rsid w:val="00BD404F"/>
    <w:rsid w:val="00BD4485"/>
    <w:rsid w:val="00BD4506"/>
    <w:rsid w:val="00BD4BA3"/>
    <w:rsid w:val="00BD5C79"/>
    <w:rsid w:val="00BD705A"/>
    <w:rsid w:val="00BE181D"/>
    <w:rsid w:val="00BE2329"/>
    <w:rsid w:val="00BE27B6"/>
    <w:rsid w:val="00BE5875"/>
    <w:rsid w:val="00BF0EBD"/>
    <w:rsid w:val="00BF524C"/>
    <w:rsid w:val="00BF5741"/>
    <w:rsid w:val="00BF68D0"/>
    <w:rsid w:val="00C00E6A"/>
    <w:rsid w:val="00C04305"/>
    <w:rsid w:val="00C0534F"/>
    <w:rsid w:val="00C15A0F"/>
    <w:rsid w:val="00C15CEA"/>
    <w:rsid w:val="00C15D3C"/>
    <w:rsid w:val="00C15FA5"/>
    <w:rsid w:val="00C229CF"/>
    <w:rsid w:val="00C3306C"/>
    <w:rsid w:val="00C3482E"/>
    <w:rsid w:val="00C349F1"/>
    <w:rsid w:val="00C35011"/>
    <w:rsid w:val="00C4091E"/>
    <w:rsid w:val="00C4100F"/>
    <w:rsid w:val="00C46EC0"/>
    <w:rsid w:val="00C471E9"/>
    <w:rsid w:val="00C47842"/>
    <w:rsid w:val="00C55D2F"/>
    <w:rsid w:val="00C55D4E"/>
    <w:rsid w:val="00C56888"/>
    <w:rsid w:val="00C607D9"/>
    <w:rsid w:val="00C61376"/>
    <w:rsid w:val="00C72B9C"/>
    <w:rsid w:val="00C736B8"/>
    <w:rsid w:val="00C75F66"/>
    <w:rsid w:val="00C76027"/>
    <w:rsid w:val="00C76828"/>
    <w:rsid w:val="00C76FD6"/>
    <w:rsid w:val="00C8131F"/>
    <w:rsid w:val="00C813E9"/>
    <w:rsid w:val="00C819D5"/>
    <w:rsid w:val="00C9022C"/>
    <w:rsid w:val="00C93FA8"/>
    <w:rsid w:val="00CA059F"/>
    <w:rsid w:val="00CA39C6"/>
    <w:rsid w:val="00CA58CC"/>
    <w:rsid w:val="00CA6A90"/>
    <w:rsid w:val="00CB34A1"/>
    <w:rsid w:val="00CB47C7"/>
    <w:rsid w:val="00CB7574"/>
    <w:rsid w:val="00CC3F37"/>
    <w:rsid w:val="00CC6004"/>
    <w:rsid w:val="00CD1753"/>
    <w:rsid w:val="00CD3B20"/>
    <w:rsid w:val="00CD61E9"/>
    <w:rsid w:val="00CD6C28"/>
    <w:rsid w:val="00CE6314"/>
    <w:rsid w:val="00CF1519"/>
    <w:rsid w:val="00CF296B"/>
    <w:rsid w:val="00CF3CF9"/>
    <w:rsid w:val="00CF530C"/>
    <w:rsid w:val="00CF557C"/>
    <w:rsid w:val="00D025A6"/>
    <w:rsid w:val="00D17BEC"/>
    <w:rsid w:val="00D22DDB"/>
    <w:rsid w:val="00D23D93"/>
    <w:rsid w:val="00D24EB9"/>
    <w:rsid w:val="00D25D8F"/>
    <w:rsid w:val="00D30E8A"/>
    <w:rsid w:val="00D313A1"/>
    <w:rsid w:val="00D31658"/>
    <w:rsid w:val="00D3340B"/>
    <w:rsid w:val="00D33895"/>
    <w:rsid w:val="00D3486B"/>
    <w:rsid w:val="00D34E37"/>
    <w:rsid w:val="00D44CD0"/>
    <w:rsid w:val="00D45B23"/>
    <w:rsid w:val="00D46D11"/>
    <w:rsid w:val="00D53ADA"/>
    <w:rsid w:val="00D617C0"/>
    <w:rsid w:val="00D64B2B"/>
    <w:rsid w:val="00D6524B"/>
    <w:rsid w:val="00D712E3"/>
    <w:rsid w:val="00D72428"/>
    <w:rsid w:val="00D74C3F"/>
    <w:rsid w:val="00D75567"/>
    <w:rsid w:val="00D75966"/>
    <w:rsid w:val="00D80246"/>
    <w:rsid w:val="00D90DBE"/>
    <w:rsid w:val="00DA100D"/>
    <w:rsid w:val="00DA44EF"/>
    <w:rsid w:val="00DA4CB5"/>
    <w:rsid w:val="00DA76CD"/>
    <w:rsid w:val="00DB63A4"/>
    <w:rsid w:val="00DC051E"/>
    <w:rsid w:val="00DC35B5"/>
    <w:rsid w:val="00DC570F"/>
    <w:rsid w:val="00DC68F3"/>
    <w:rsid w:val="00DD1D81"/>
    <w:rsid w:val="00DD2A57"/>
    <w:rsid w:val="00DD50A4"/>
    <w:rsid w:val="00DD6BD7"/>
    <w:rsid w:val="00DD7743"/>
    <w:rsid w:val="00DE1074"/>
    <w:rsid w:val="00DE345A"/>
    <w:rsid w:val="00DF1177"/>
    <w:rsid w:val="00DF1DCD"/>
    <w:rsid w:val="00DF416A"/>
    <w:rsid w:val="00DF772D"/>
    <w:rsid w:val="00E020F9"/>
    <w:rsid w:val="00E03037"/>
    <w:rsid w:val="00E039BD"/>
    <w:rsid w:val="00E06603"/>
    <w:rsid w:val="00E07859"/>
    <w:rsid w:val="00E101FD"/>
    <w:rsid w:val="00E11FD7"/>
    <w:rsid w:val="00E13218"/>
    <w:rsid w:val="00E21C5E"/>
    <w:rsid w:val="00E2761F"/>
    <w:rsid w:val="00E32D57"/>
    <w:rsid w:val="00E349B1"/>
    <w:rsid w:val="00E35CF1"/>
    <w:rsid w:val="00E400A8"/>
    <w:rsid w:val="00E40D2F"/>
    <w:rsid w:val="00E41EC6"/>
    <w:rsid w:val="00E47AD1"/>
    <w:rsid w:val="00E5100C"/>
    <w:rsid w:val="00E55CF9"/>
    <w:rsid w:val="00E55F48"/>
    <w:rsid w:val="00E731EC"/>
    <w:rsid w:val="00E77DDE"/>
    <w:rsid w:val="00E846D5"/>
    <w:rsid w:val="00E97868"/>
    <w:rsid w:val="00EA223E"/>
    <w:rsid w:val="00EA4832"/>
    <w:rsid w:val="00EA58E9"/>
    <w:rsid w:val="00EA7D9E"/>
    <w:rsid w:val="00EB1993"/>
    <w:rsid w:val="00EB358C"/>
    <w:rsid w:val="00EC1667"/>
    <w:rsid w:val="00EC24AA"/>
    <w:rsid w:val="00EC33FD"/>
    <w:rsid w:val="00EC3BBB"/>
    <w:rsid w:val="00ED27A2"/>
    <w:rsid w:val="00ED50F0"/>
    <w:rsid w:val="00EE1106"/>
    <w:rsid w:val="00EE1A06"/>
    <w:rsid w:val="00EE70A2"/>
    <w:rsid w:val="00EF183E"/>
    <w:rsid w:val="00EF3C72"/>
    <w:rsid w:val="00EF65CE"/>
    <w:rsid w:val="00EF79D1"/>
    <w:rsid w:val="00F015A3"/>
    <w:rsid w:val="00F01E4E"/>
    <w:rsid w:val="00F05D67"/>
    <w:rsid w:val="00F101B0"/>
    <w:rsid w:val="00F162EA"/>
    <w:rsid w:val="00F224F9"/>
    <w:rsid w:val="00F22718"/>
    <w:rsid w:val="00F27775"/>
    <w:rsid w:val="00F27CA6"/>
    <w:rsid w:val="00F3108F"/>
    <w:rsid w:val="00F31C73"/>
    <w:rsid w:val="00F322CB"/>
    <w:rsid w:val="00F3520F"/>
    <w:rsid w:val="00F37BB7"/>
    <w:rsid w:val="00F434BA"/>
    <w:rsid w:val="00F460A4"/>
    <w:rsid w:val="00F4629B"/>
    <w:rsid w:val="00F47296"/>
    <w:rsid w:val="00F47FB1"/>
    <w:rsid w:val="00F47FFB"/>
    <w:rsid w:val="00F53E21"/>
    <w:rsid w:val="00F60E90"/>
    <w:rsid w:val="00F64410"/>
    <w:rsid w:val="00F7057B"/>
    <w:rsid w:val="00F74867"/>
    <w:rsid w:val="00F75769"/>
    <w:rsid w:val="00F82D3E"/>
    <w:rsid w:val="00F84C45"/>
    <w:rsid w:val="00F85659"/>
    <w:rsid w:val="00F91909"/>
    <w:rsid w:val="00F92184"/>
    <w:rsid w:val="00F93F5D"/>
    <w:rsid w:val="00F97D42"/>
    <w:rsid w:val="00FA032E"/>
    <w:rsid w:val="00FA24C8"/>
    <w:rsid w:val="00FA3EE1"/>
    <w:rsid w:val="00FA6324"/>
    <w:rsid w:val="00FA7349"/>
    <w:rsid w:val="00FB3A43"/>
    <w:rsid w:val="00FB5CAA"/>
    <w:rsid w:val="00FC56E6"/>
    <w:rsid w:val="00FC5D0C"/>
    <w:rsid w:val="00FC63B6"/>
    <w:rsid w:val="00FC6B7A"/>
    <w:rsid w:val="00FC7CCE"/>
    <w:rsid w:val="00FD18D7"/>
    <w:rsid w:val="00FD3890"/>
    <w:rsid w:val="00FE4620"/>
    <w:rsid w:val="00FE599E"/>
    <w:rsid w:val="00FE5A27"/>
    <w:rsid w:val="00FF2C13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5940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9951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A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semiHidden/>
    <w:pPr>
      <w:ind w:firstLine="567"/>
      <w:jc w:val="both"/>
    </w:pPr>
    <w:rPr>
      <w:sz w:val="23"/>
      <w:szCs w:val="2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Pr>
      <w:szCs w:val="20"/>
    </w:rPr>
  </w:style>
  <w:style w:type="paragraph" w:styleId="3">
    <w:name w:val="Body Text Indent 3"/>
    <w:basedOn w:val="a"/>
    <w:semiHidden/>
    <w:pPr>
      <w:ind w:firstLine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D2044"/>
    <w:rPr>
      <w:sz w:val="23"/>
    </w:rPr>
  </w:style>
  <w:style w:type="paragraph" w:styleId="a5">
    <w:name w:val="header"/>
    <w:basedOn w:val="a"/>
    <w:link w:val="a6"/>
    <w:uiPriority w:val="99"/>
    <w:unhideWhenUsed/>
    <w:rsid w:val="0000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65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0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65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995125"/>
    <w:rPr>
      <w:sz w:val="24"/>
      <w:szCs w:val="24"/>
    </w:rPr>
  </w:style>
  <w:style w:type="paragraph" w:styleId="a9">
    <w:name w:val="Title"/>
    <w:basedOn w:val="a"/>
    <w:link w:val="aa"/>
    <w:qFormat/>
    <w:rsid w:val="00DA76C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DA76CD"/>
    <w:rPr>
      <w:b/>
      <w:sz w:val="24"/>
    </w:rPr>
  </w:style>
  <w:style w:type="character" w:styleId="ab">
    <w:name w:val="Hyperlink"/>
    <w:basedOn w:val="a0"/>
    <w:uiPriority w:val="99"/>
    <w:unhideWhenUsed/>
    <w:rsid w:val="009104B3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93A0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A93A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D64B2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c">
    <w:name w:val="Body Text"/>
    <w:basedOn w:val="a"/>
    <w:link w:val="ad"/>
    <w:uiPriority w:val="99"/>
    <w:unhideWhenUsed/>
    <w:rsid w:val="00EF79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F79D1"/>
    <w:rPr>
      <w:sz w:val="24"/>
      <w:szCs w:val="24"/>
    </w:rPr>
  </w:style>
  <w:style w:type="table" w:styleId="ae">
    <w:name w:val="Table Grid"/>
    <w:basedOn w:val="a1"/>
    <w:uiPriority w:val="59"/>
    <w:rsid w:val="00A76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766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АИ-95</a:t>
            </a:r>
            <a:r>
              <a:rPr lang="ru-RU" baseline="0"/>
              <a:t> на розничном рынке автомобильных бензинов,%</a:t>
            </a:r>
            <a:endParaRPr lang="ru-RU"/>
          </a:p>
        </c:rich>
      </c:tx>
      <c:layout>
        <c:manualLayout>
          <c:xMode val="edge"/>
          <c:yMode val="edge"/>
          <c:x val="9.2461932117708104E-2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r>
                      <a:rPr lang="ru-RU" sz="1400"/>
                      <a:t>ОАО "ННК"; 0,01%</a:t>
                    </a:r>
                  </a:p>
                </c:rich>
              </c:tx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/>
                      <a:t>ЛУКОЙЛ СЗНП</a:t>
                    </a:r>
                    <a:r>
                      <a:rPr lang="ru-RU" sz="1400" baseline="0"/>
                      <a:t> Сев РУ</a:t>
                    </a:r>
                    <a:r>
                      <a:rPr lang="ru-RU" sz="1400"/>
                      <a:t>;99,99%</a:t>
                    </a:r>
                  </a:p>
                </c:rich>
              </c:tx>
              <c:showSerName val="1"/>
              <c:showPercent val="1"/>
            </c:dLbl>
            <c:numFmt formatCode="0.00%" sourceLinked="0"/>
            <c:showSerName val="1"/>
            <c:showPercent val="1"/>
          </c:dLbls>
          <c:val>
            <c:numRef>
              <c:f>Лист1!$G$11:$G$12</c:f>
              <c:numCache>
                <c:formatCode>General</c:formatCode>
                <c:ptCount val="2"/>
                <c:pt idx="0">
                  <c:v>1481.73</c:v>
                </c:pt>
                <c:pt idx="1">
                  <c:v>8539167.8300000001</c:v>
                </c:pt>
              </c:numCache>
            </c:numRef>
          </c:val>
        </c:ser>
        <c:ser>
          <c:idx val="1"/>
          <c:order val="1"/>
          <c:tx>
            <c:v>G11</c:v>
          </c:tx>
          <c:explosion val="25"/>
          <c:dLbls>
            <c:showPercent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G12</c:v>
          </c:tx>
          <c:explosion val="25"/>
          <c:dLbls>
            <c:showPercent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</a:t>
            </a:r>
            <a:r>
              <a:rPr lang="ru-RU" baseline="0"/>
              <a:t> АИ-92 на розничном рынке автомобильных бензинов,%</a:t>
            </a:r>
            <a:endParaRPr lang="ru-RU"/>
          </a:p>
        </c:rich>
      </c:tx>
      <c:layout>
        <c:manualLayout>
          <c:xMode val="edge"/>
          <c:yMode val="edge"/>
          <c:x val="0.34240686812044502"/>
          <c:y val="0"/>
        </c:manualLayout>
      </c:layout>
    </c:title>
    <c:plotArea>
      <c:layout>
        <c:manualLayout>
          <c:layoutTarget val="inner"/>
          <c:xMode val="edge"/>
          <c:yMode val="edge"/>
          <c:x val="0.20149790348629357"/>
          <c:y val="0.21176641918060807"/>
          <c:w val="0.36353858443253795"/>
          <c:h val="0.59663247454195356"/>
        </c:manualLayout>
      </c:layout>
      <c:pieChart>
        <c:varyColors val="1"/>
        <c:ser>
          <c:idx val="0"/>
          <c:order val="0"/>
          <c:explosion val="19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0,02%</a:t>
                    </a:r>
                    <a:endParaRPr lang="ru-RU" sz="1400"/>
                  </a:p>
                  <a:p>
                    <a:r>
                      <a:rPr lang="ru-RU" sz="1400"/>
                      <a:t>ОАО "ННК"</a:t>
                    </a:r>
                    <a:endParaRPr lang="en-US" sz="1400"/>
                  </a:p>
                </c:rich>
              </c:tx>
              <c:showPercent val="1"/>
            </c:dLbl>
            <c:dLbl>
              <c:idx val="1"/>
              <c:layout>
                <c:manualLayout>
                  <c:x val="0.1891557088245118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99,98%</a:t>
                    </a:r>
                    <a:r>
                      <a:rPr lang="ru-RU" sz="1400"/>
                      <a:t> ЛУКОЙЛ СЗНП</a:t>
                    </a:r>
                    <a:r>
                      <a:rPr lang="ru-RU" sz="1400" baseline="0"/>
                      <a:t> Сев РУ</a:t>
                    </a:r>
                    <a:endParaRPr lang="en-US" sz="1400"/>
                  </a:p>
                </c:rich>
              </c:tx>
              <c:showPercent val="1"/>
            </c:dLbl>
            <c:numFmt formatCode="0.00%" sourceLinked="0"/>
            <c:showPercent val="1"/>
            <c:showLeaderLines val="1"/>
          </c:dLbls>
          <c:val>
            <c:numRef>
              <c:f>Лист1!$H$11:$H$12</c:f>
              <c:numCache>
                <c:formatCode>0.00</c:formatCode>
                <c:ptCount val="2"/>
                <c:pt idx="0">
                  <c:v>1.7349148792378269E-2</c:v>
                </c:pt>
                <c:pt idx="1">
                  <c:v>99.982650851207623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524792843950841"/>
          <c:y val="0.1922512480743423"/>
          <c:w val="0.46372268470912792"/>
          <c:h val="0.77305297848444665"/>
        </c:manualLayout>
      </c:layout>
      <c:pieChart>
        <c:varyColors val="1"/>
        <c:ser>
          <c:idx val="0"/>
          <c:order val="0"/>
          <c:explosion val="21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/>
                      <a:t>ОАО "ННК"</a:t>
                    </a:r>
                    <a:r>
                      <a:rPr lang="en-US" sz="1400"/>
                      <a:t>100,00%</a:t>
                    </a:r>
                  </a:p>
                </c:rich>
              </c:tx>
              <c:showVal val="1"/>
            </c:dLbl>
            <c:numFmt formatCode="0.00%" sourceLinked="0"/>
            <c:showVal val="1"/>
            <c:showLeaderLines val="1"/>
          </c:dLbls>
          <c:val>
            <c:numRef>
              <c:f>Лист1!$J$11:$K$11</c:f>
              <c:numCache>
                <c:formatCode>General</c:formatCode>
                <c:ptCount val="2"/>
                <c:pt idx="0" formatCode="0.00">
                  <c:v>100</c:v>
                </c:pt>
              </c:numCache>
            </c:numRef>
          </c:val>
        </c:ser>
        <c:ser>
          <c:idx val="1"/>
          <c:order val="1"/>
          <c:explosion val="25"/>
          <c:val>
            <c:numRef>
              <c:f>Лист1!$J$12:$K$12</c:f>
              <c:numCache>
                <c:formatCode>General</c:formatCode>
                <c:ptCount val="2"/>
                <c:pt idx="0" formatCode="0.00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0.13909</cdr:x>
      <cdr:y>0.04197</cdr:y>
    </cdr:from>
    <cdr:to>
      <cdr:x>0.93313</cdr:x>
      <cdr:y>0.43486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5458" y="115035"/>
          <a:ext cx="3627783" cy="1076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/>
            <a:t>Доля АИ -80 на розничном рынке автомобильных бензинов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BFC5-EF04-489D-9251-080D339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</dc:creator>
  <cp:keywords/>
  <cp:lastModifiedBy>Носова</cp:lastModifiedBy>
  <cp:revision>2</cp:revision>
  <cp:lastPrinted>2013-12-23T10:09:00Z</cp:lastPrinted>
  <dcterms:created xsi:type="dcterms:W3CDTF">2014-06-06T12:48:00Z</dcterms:created>
  <dcterms:modified xsi:type="dcterms:W3CDTF">2014-06-06T12:48:00Z</dcterms:modified>
</cp:coreProperties>
</file>