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A" w:rsidRDefault="00192D7A" w:rsidP="005D1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7A" w:rsidRDefault="00192D7A" w:rsidP="005D1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7A" w:rsidRDefault="00192D7A" w:rsidP="005D1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F7" w:rsidRPr="00B944FF" w:rsidRDefault="005D18FC" w:rsidP="005D1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FF">
        <w:rPr>
          <w:rFonts w:ascii="Times New Roman" w:hAnsi="Times New Roman" w:cs="Times New Roman"/>
          <w:b/>
          <w:sz w:val="24"/>
          <w:szCs w:val="24"/>
        </w:rPr>
        <w:t>Аналитический отчет состояния конкуренции и установлению доминирующего положения хозяйствующего субъекта (группы лиц) на рынках погрузо-разгрузочных работ в морских и речных портах</w:t>
      </w:r>
      <w:r w:rsidR="005C01BE">
        <w:rPr>
          <w:rFonts w:ascii="Times New Roman" w:hAnsi="Times New Roman" w:cs="Times New Roman"/>
          <w:b/>
          <w:sz w:val="24"/>
          <w:szCs w:val="24"/>
        </w:rPr>
        <w:t xml:space="preserve"> за период 2011-2012 гг.</w:t>
      </w:r>
    </w:p>
    <w:p w:rsidR="005D18FC" w:rsidRPr="00B944FF" w:rsidRDefault="005D18FC" w:rsidP="005D18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8FC" w:rsidRPr="00B944FF" w:rsidRDefault="005D18FC" w:rsidP="00B944F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4FF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5D18FC" w:rsidRPr="00B944FF" w:rsidRDefault="005D18FC" w:rsidP="005D18FC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</w:p>
    <w:p w:rsidR="005D18FC" w:rsidRPr="00B944FF" w:rsidRDefault="005D18FC" w:rsidP="005D18FC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  <w:r w:rsidRPr="00B944FF">
        <w:t>Целью проведения  данного анализа состояния конкурентной среды на розничных рынках погрузо-разгрузочных работ в морских и речных портах является установление доминирующего положения хозяйствующего субъекта на региональных рынках.</w:t>
      </w:r>
    </w:p>
    <w:p w:rsidR="005D18FC" w:rsidRPr="00B944FF" w:rsidRDefault="005D18FC" w:rsidP="005D18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eastAsia="Calibri" w:hAnsi="Times New Roman" w:cs="Times New Roman"/>
          <w:sz w:val="24"/>
          <w:szCs w:val="24"/>
        </w:rPr>
        <w:t xml:space="preserve">Анализ проводился в соответствии с требованиями </w:t>
      </w:r>
      <w:proofErr w:type="gramStart"/>
      <w:r w:rsidRPr="00B944FF">
        <w:rPr>
          <w:rFonts w:ascii="Times New Roman" w:eastAsia="Calibri" w:hAnsi="Times New Roman" w:cs="Times New Roman"/>
          <w:sz w:val="24"/>
          <w:szCs w:val="24"/>
        </w:rPr>
        <w:t>Порядка проведения анализа состояния конкуренции</w:t>
      </w:r>
      <w:proofErr w:type="gramEnd"/>
      <w:r w:rsidRPr="00B944FF">
        <w:rPr>
          <w:rFonts w:ascii="Times New Roman" w:eastAsia="Calibri" w:hAnsi="Times New Roman" w:cs="Times New Roman"/>
          <w:sz w:val="24"/>
          <w:szCs w:val="24"/>
        </w:rPr>
        <w:t xml:space="preserve"> на товарном рынке, утвержденного приказом ФАС России от 28.04.2010 № 220 (далее по тексту – Порядок)</w:t>
      </w:r>
      <w:r w:rsidRPr="00B944FF">
        <w:rPr>
          <w:rFonts w:ascii="Times New Roman" w:hAnsi="Times New Roman" w:cs="Times New Roman"/>
          <w:sz w:val="24"/>
          <w:szCs w:val="24"/>
        </w:rPr>
        <w:t>.</w:t>
      </w:r>
    </w:p>
    <w:p w:rsidR="005D18FC" w:rsidRPr="00B944FF" w:rsidRDefault="005D18FC" w:rsidP="005D18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8FC" w:rsidRPr="00B944FF" w:rsidRDefault="005D18FC" w:rsidP="00B944FF">
      <w:pPr>
        <w:pStyle w:val="2"/>
        <w:spacing w:line="276" w:lineRule="auto"/>
        <w:ind w:firstLine="709"/>
        <w:jc w:val="center"/>
        <w:rPr>
          <w:b/>
          <w:bCs/>
        </w:rPr>
      </w:pPr>
      <w:r w:rsidRPr="00B944FF">
        <w:rPr>
          <w:b/>
          <w:bCs/>
        </w:rPr>
        <w:t>1.2. Источники исходной информации</w:t>
      </w:r>
    </w:p>
    <w:p w:rsidR="005D18FC" w:rsidRPr="00B944FF" w:rsidRDefault="005D18FC" w:rsidP="005D18FC">
      <w:pPr>
        <w:pStyle w:val="2"/>
        <w:spacing w:line="276" w:lineRule="auto"/>
        <w:ind w:firstLine="709"/>
      </w:pPr>
    </w:p>
    <w:p w:rsidR="005D18FC" w:rsidRPr="00B944FF" w:rsidRDefault="005D18FC" w:rsidP="005D18FC">
      <w:pPr>
        <w:pStyle w:val="2"/>
        <w:spacing w:line="276" w:lineRule="auto"/>
        <w:ind w:firstLine="709"/>
      </w:pPr>
      <w:proofErr w:type="gramStart"/>
      <w:r w:rsidRPr="00B944FF">
        <w:t>В качестве источников исходной информации при проведении анализа использованы:</w:t>
      </w:r>
      <w:proofErr w:type="gramEnd"/>
    </w:p>
    <w:p w:rsidR="005D18FC" w:rsidRPr="00312E5D" w:rsidRDefault="005D18FC" w:rsidP="00312E5D">
      <w:pPr>
        <w:pStyle w:val="2"/>
        <w:ind w:firstLine="709"/>
      </w:pPr>
      <w:r w:rsidRPr="00312E5D">
        <w:t xml:space="preserve">- статистические данные; </w:t>
      </w:r>
    </w:p>
    <w:p w:rsidR="00312E5D" w:rsidRPr="00312E5D" w:rsidRDefault="005D18FC" w:rsidP="00312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5D">
        <w:rPr>
          <w:rFonts w:ascii="Times New Roman" w:hAnsi="Times New Roman" w:cs="Times New Roman"/>
          <w:sz w:val="24"/>
          <w:szCs w:val="24"/>
        </w:rPr>
        <w:t xml:space="preserve">- данные проведенного </w:t>
      </w:r>
      <w:r w:rsidR="00312E5D" w:rsidRPr="00312E5D">
        <w:rPr>
          <w:rFonts w:ascii="Times New Roman" w:hAnsi="Times New Roman" w:cs="Times New Roman"/>
          <w:sz w:val="24"/>
          <w:szCs w:val="24"/>
        </w:rPr>
        <w:t xml:space="preserve">Аналитический отчет состояния конкуренции </w:t>
      </w:r>
    </w:p>
    <w:p w:rsidR="005D18FC" w:rsidRPr="00B944FF" w:rsidRDefault="005D18FC" w:rsidP="00663EF4">
      <w:pPr>
        <w:pStyle w:val="7"/>
        <w:tabs>
          <w:tab w:val="left" w:pos="5670"/>
        </w:tabs>
        <w:spacing w:before="0" w:after="0"/>
        <w:ind w:firstLine="709"/>
        <w:jc w:val="both"/>
        <w:rPr>
          <w:rFonts w:eastAsia="Calibri"/>
        </w:rPr>
      </w:pPr>
      <w:r w:rsidRPr="00312E5D">
        <w:t>-  информация, полученная от хозяйствующих субъектов, действующих</w:t>
      </w:r>
      <w:r w:rsidRPr="00B944FF">
        <w:t xml:space="preserve"> на данном рынке в границах Ненецкого АО</w:t>
      </w:r>
    </w:p>
    <w:p w:rsidR="005D18FC" w:rsidRPr="00B944FF" w:rsidRDefault="005D18FC" w:rsidP="00B944F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4FF">
        <w:rPr>
          <w:rFonts w:ascii="Times New Roman" w:eastAsia="Calibri" w:hAnsi="Times New Roman" w:cs="Times New Roman"/>
          <w:b/>
          <w:bCs/>
          <w:sz w:val="24"/>
          <w:szCs w:val="24"/>
        </w:rPr>
        <w:t>2. Временной интервал исследования рынка</w:t>
      </w:r>
    </w:p>
    <w:p w:rsidR="005D18FC" w:rsidRPr="00B944FF" w:rsidRDefault="005D18FC" w:rsidP="005D18F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D18FC" w:rsidRPr="00B944FF" w:rsidRDefault="005D18FC" w:rsidP="005D18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44FF">
        <w:rPr>
          <w:rFonts w:ascii="Times New Roman" w:eastAsia="Calibri" w:hAnsi="Times New Roman" w:cs="Times New Roman"/>
          <w:iCs/>
          <w:sz w:val="24"/>
          <w:szCs w:val="24"/>
        </w:rPr>
        <w:t>Так как исследование носит ретроспективный характер, целесообразно определить временной интервал исследования как 2011-2012 гг.</w:t>
      </w:r>
      <w:r w:rsidRPr="00B944FF">
        <w:rPr>
          <w:rFonts w:ascii="Times New Roman" w:hAnsi="Times New Roman" w:cs="Times New Roman"/>
          <w:iCs/>
          <w:sz w:val="24"/>
          <w:szCs w:val="24"/>
        </w:rPr>
        <w:t>, с градацией по отчетным периодам (3,6, 9 месяцев, год).</w:t>
      </w:r>
    </w:p>
    <w:p w:rsidR="005D18FC" w:rsidRPr="00B944FF" w:rsidRDefault="005D18FC" w:rsidP="005D18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8FC" w:rsidRDefault="005D18FC" w:rsidP="005D18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4F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944FF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Определение</w:t>
      </w:r>
      <w:r w:rsidRPr="00B944FF">
        <w:rPr>
          <w:rFonts w:ascii="Times New Roman" w:eastAsia="Calibri" w:hAnsi="Times New Roman" w:cs="Times New Roman"/>
          <w:b/>
          <w:sz w:val="24"/>
          <w:szCs w:val="24"/>
        </w:rPr>
        <w:t xml:space="preserve"> продуктовых границ товарного рынка</w:t>
      </w:r>
    </w:p>
    <w:p w:rsidR="00B944FF" w:rsidRPr="00B944FF" w:rsidRDefault="00B944FF" w:rsidP="005D1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FC" w:rsidRPr="00B944FF" w:rsidRDefault="005D18FC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 xml:space="preserve">В настоящее время на внутренних водных путях России функционирует 28 портов. </w:t>
      </w:r>
    </w:p>
    <w:p w:rsidR="005D18FC" w:rsidRPr="00B944FF" w:rsidRDefault="005D18FC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Материально-техническая база портов разнообразна и включает сооружения, обеспечивающие безопасность</w:t>
      </w:r>
      <w:r w:rsidR="00F74B98" w:rsidRPr="00B944FF">
        <w:rPr>
          <w:rFonts w:ascii="Times New Roman" w:hAnsi="Times New Roman" w:cs="Times New Roman"/>
          <w:sz w:val="24"/>
          <w:szCs w:val="24"/>
        </w:rPr>
        <w:t xml:space="preserve"> стоянки и движения судов в портах (молы, волноломы, подходные каналы), причалы, на которых производятся погрузо-разгрузочные работы, перегрузочное оборудование (краны, авт</w:t>
      </w:r>
      <w:proofErr w:type="gramStart"/>
      <w:r w:rsidR="00F74B98" w:rsidRPr="00B944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4B98" w:rsidRPr="00B94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4B98" w:rsidRPr="00B944FF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="00F74B98" w:rsidRPr="00B944FF">
        <w:rPr>
          <w:rFonts w:ascii="Times New Roman" w:hAnsi="Times New Roman" w:cs="Times New Roman"/>
          <w:sz w:val="24"/>
          <w:szCs w:val="24"/>
        </w:rPr>
        <w:t xml:space="preserve">), склады (крытые и открытые), железнодорожные пути, портовый флот (буксиры, катера), ремонтные мастерские, </w:t>
      </w:r>
      <w:proofErr w:type="spellStart"/>
      <w:r w:rsidR="00F74B98" w:rsidRPr="00B944FF">
        <w:rPr>
          <w:rFonts w:ascii="Times New Roman" w:hAnsi="Times New Roman" w:cs="Times New Roman"/>
          <w:sz w:val="24"/>
          <w:szCs w:val="24"/>
        </w:rPr>
        <w:t>бункеровочные</w:t>
      </w:r>
      <w:proofErr w:type="spellEnd"/>
      <w:r w:rsidR="00F74B98" w:rsidRPr="00B944FF">
        <w:rPr>
          <w:rFonts w:ascii="Times New Roman" w:hAnsi="Times New Roman" w:cs="Times New Roman"/>
          <w:sz w:val="24"/>
          <w:szCs w:val="24"/>
        </w:rPr>
        <w:t xml:space="preserve"> базы, средства связи и т.д.</w:t>
      </w:r>
    </w:p>
    <w:p w:rsidR="00F74B98" w:rsidRPr="00B944FF" w:rsidRDefault="00F74B98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lastRenderedPageBreak/>
        <w:t xml:space="preserve">Погрузочно-разгрузочные работы – комплекс мер, направленных на поднятие разнообразных грузов с целью их погрузки или выгрузки. </w:t>
      </w:r>
      <w:r w:rsidR="00AA3169" w:rsidRPr="00B944FF">
        <w:rPr>
          <w:rFonts w:ascii="Times New Roman" w:hAnsi="Times New Roman" w:cs="Times New Roman"/>
          <w:sz w:val="24"/>
          <w:szCs w:val="24"/>
        </w:rPr>
        <w:t>Традиционно такие работы применяются для погрузки или выгрузки грузов, вручную или при помощи специализированной техники.</w:t>
      </w:r>
    </w:p>
    <w:p w:rsidR="00AA3169" w:rsidRPr="00B944FF" w:rsidRDefault="00AA3169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4FF">
        <w:rPr>
          <w:rFonts w:ascii="Times New Roman" w:hAnsi="Times New Roman" w:cs="Times New Roman"/>
          <w:sz w:val="24"/>
          <w:szCs w:val="24"/>
        </w:rPr>
        <w:t>Состав погрузо-разгрузочных работ устанавливается исходя из набора работ, оказываемых продавцами на базе товарной группы-номенклатуры обрабатываемых грузов (насыпные и навалочные грузы), в т.ч. строительные грузы, уголь, прочие; зерно; генеральные грузы, в т.ч. лесные грузы в судах, металлы черные и цветные, тарно-штучные грузы; наливные грузы) в портах.</w:t>
      </w:r>
      <w:proofErr w:type="gramEnd"/>
    </w:p>
    <w:p w:rsidR="00AA3169" w:rsidRPr="00B944FF" w:rsidRDefault="00AA3169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Определение состава работ по погрузке-выгрузке грузов осуществляется по показателям, характеризующим технические и функциональные возможности осуществления по погрузке грузов и условия предоставления данных услуг потребителям (договор на погрузо-разгрузочные работы).</w:t>
      </w:r>
    </w:p>
    <w:p w:rsidR="00AA3169" w:rsidRPr="00B944FF" w:rsidRDefault="00AA3169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Состав показателей дифференцируется в зависимости от вида перерабатываемых грузов.</w:t>
      </w:r>
    </w:p>
    <w:p w:rsidR="00AA3169" w:rsidRPr="00B944FF" w:rsidRDefault="00AA3169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4FF">
        <w:rPr>
          <w:rFonts w:ascii="Times New Roman" w:hAnsi="Times New Roman" w:cs="Times New Roman"/>
          <w:sz w:val="24"/>
          <w:szCs w:val="24"/>
        </w:rPr>
        <w:t xml:space="preserve">Виды перерабатываемых грузов группируются следующим </w:t>
      </w:r>
      <w:r w:rsidR="00610EA0" w:rsidRPr="00B944FF">
        <w:rPr>
          <w:rFonts w:ascii="Times New Roman" w:hAnsi="Times New Roman" w:cs="Times New Roman"/>
          <w:sz w:val="24"/>
          <w:szCs w:val="24"/>
        </w:rPr>
        <w:t>образом: насыпные и навалочные грузы, в т.ч.</w:t>
      </w:r>
      <w:r w:rsidR="009C2010" w:rsidRPr="00B944FF">
        <w:rPr>
          <w:rFonts w:ascii="Times New Roman" w:hAnsi="Times New Roman" w:cs="Times New Roman"/>
          <w:sz w:val="24"/>
          <w:szCs w:val="24"/>
        </w:rPr>
        <w:t>: строительные грузы, уголь, прочие;</w:t>
      </w:r>
      <w:r w:rsidRPr="00B944FF">
        <w:rPr>
          <w:rFonts w:ascii="Times New Roman" w:hAnsi="Times New Roman" w:cs="Times New Roman"/>
          <w:sz w:val="24"/>
          <w:szCs w:val="24"/>
        </w:rPr>
        <w:t xml:space="preserve"> </w:t>
      </w:r>
      <w:r w:rsidR="009C2010" w:rsidRPr="00B944FF">
        <w:rPr>
          <w:rFonts w:ascii="Times New Roman" w:hAnsi="Times New Roman" w:cs="Times New Roman"/>
          <w:sz w:val="24"/>
          <w:szCs w:val="24"/>
        </w:rPr>
        <w:t>зерно; генеральные грузы, в т.ч. лесные грузы в судах, металлы черные и цветные, тарно-штучные грузы; наливные грузы.</w:t>
      </w:r>
      <w:proofErr w:type="gramEnd"/>
    </w:p>
    <w:p w:rsidR="009C2010" w:rsidRPr="00B944FF" w:rsidRDefault="009C2010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Погрузо-разгрузочные работы в портах сегментируются по вышеуказанным видам перерабатываемых грузов, поскольку при перегрузке грузов различных категорий требуется различная не взаимозаменяемая материально-техническая база.</w:t>
      </w:r>
    </w:p>
    <w:p w:rsidR="009C2010" w:rsidRPr="00B944FF" w:rsidRDefault="009C2010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4F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4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4F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944FF">
        <w:rPr>
          <w:rFonts w:ascii="Times New Roman" w:hAnsi="Times New Roman" w:cs="Times New Roman"/>
          <w:sz w:val="24"/>
          <w:szCs w:val="24"/>
        </w:rPr>
        <w:t xml:space="preserve"> следует обратить внимание, что перевалка зерна может осуществляться прямым способом, а также с использованием элеваторных мощностей, посредством накопления судовой партии.</w:t>
      </w:r>
    </w:p>
    <w:p w:rsidR="009C2010" w:rsidRPr="00B944FF" w:rsidRDefault="009C2010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 xml:space="preserve">Продуктовые границы рынка могут быть расширены за счет оказания услуг по перевалке зерна хозяйствующими субъектами, которые не являются портами, но осуществляют свою деятельность на территории порта (с </w:t>
      </w:r>
      <w:proofErr w:type="gramStart"/>
      <w:r w:rsidRPr="00B944FF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B944FF">
        <w:rPr>
          <w:rFonts w:ascii="Times New Roman" w:hAnsi="Times New Roman" w:cs="Times New Roman"/>
          <w:sz w:val="24"/>
          <w:szCs w:val="24"/>
        </w:rPr>
        <w:t xml:space="preserve"> как собственных мощностей, так и мощностей порта).</w:t>
      </w:r>
    </w:p>
    <w:p w:rsidR="009C2010" w:rsidRPr="00B944FF" w:rsidRDefault="009C2010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В качестве основных технических характеристик показателей услуг по погрузке-выгрузке грузов принимаются:</w:t>
      </w:r>
    </w:p>
    <w:p w:rsidR="009C2010" w:rsidRPr="00B944FF" w:rsidRDefault="009C2010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 xml:space="preserve">- функциональное назначение </w:t>
      </w:r>
      <w:r w:rsidR="005A6AB2" w:rsidRPr="00B944FF">
        <w:rPr>
          <w:rFonts w:ascii="Times New Roman" w:hAnsi="Times New Roman" w:cs="Times New Roman"/>
          <w:sz w:val="24"/>
          <w:szCs w:val="24"/>
        </w:rPr>
        <w:t>причала;</w:t>
      </w:r>
    </w:p>
    <w:p w:rsidR="005A6AB2" w:rsidRPr="00B944FF" w:rsidRDefault="005A6AB2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- технические характеристики услуги;</w:t>
      </w:r>
    </w:p>
    <w:p w:rsidR="005A6AB2" w:rsidRPr="00B944FF" w:rsidRDefault="005A6AB2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- требуемое технологическое оснащение причала (наличие перегрузочного оборудования, кранов и др.).</w:t>
      </w:r>
    </w:p>
    <w:p w:rsidR="005A6AB2" w:rsidRPr="00B944FF" w:rsidRDefault="005A6AB2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Важной экономической характеристикой является цена предоставления данной услуги.</w:t>
      </w:r>
    </w:p>
    <w:p w:rsidR="005A6AB2" w:rsidRPr="00B944FF" w:rsidRDefault="00481891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 xml:space="preserve">Услуги по погрузке </w:t>
      </w:r>
      <w:proofErr w:type="gramStart"/>
      <w:r w:rsidRPr="00B944F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944FF">
        <w:rPr>
          <w:rFonts w:ascii="Times New Roman" w:hAnsi="Times New Roman" w:cs="Times New Roman"/>
          <w:sz w:val="24"/>
          <w:szCs w:val="24"/>
        </w:rPr>
        <w:t>ыгрузке грузов в порту идентифицируются на основании сведений, содержащихся в идентификационной справке, выданной органами статистики хозяйствующим субъектам, оказывающим данные услуги.</w:t>
      </w:r>
    </w:p>
    <w:p w:rsidR="00481891" w:rsidRPr="00B944FF" w:rsidRDefault="00481891" w:rsidP="00B94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погрузке – выгрузке грузов ОКВЭД:</w:t>
      </w:r>
    </w:p>
    <w:p w:rsidR="00481891" w:rsidRPr="00B944FF" w:rsidRDefault="00481891" w:rsidP="00B94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t>63.11 – Транспортная обработка грузов</w:t>
      </w:r>
    </w:p>
    <w:p w:rsidR="00481891" w:rsidRPr="00B944FF" w:rsidRDefault="00481891" w:rsidP="00B94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группировка включает:</w:t>
      </w:r>
    </w:p>
    <w:p w:rsidR="00481891" w:rsidRPr="00B944FF" w:rsidRDefault="00481891" w:rsidP="00B94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-погрузку и разгрузку грузов и багажа пассажиров независимо от вида транспорта, используемого для перевозки, включая погрузо-разгрузочную деятельность на водном транспорте.</w:t>
      </w:r>
    </w:p>
    <w:p w:rsidR="00481891" w:rsidRPr="00B944FF" w:rsidRDefault="00A97DA6" w:rsidP="00B944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частью 1 статьи 4 Федерального закона от 17.08.1995 № 147-ФЗ «О естественных  монополий» (далее </w:t>
      </w:r>
      <w:proofErr w:type="gramStart"/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B9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о естественных монополиях) регулируется деятельность субъектов естественных монополий в том числе оказывающих услуги в транспортных терминалах, портах и аэропортах. </w:t>
      </w:r>
    </w:p>
    <w:p w:rsidR="00A97DA6" w:rsidRPr="00B944FF" w:rsidRDefault="00A97DA6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С точки зрения потенциального потребителя услуг, хозяйствующих субъектов, осуществляющих предпринимательскую деятельность в портах, такие услуги реализуют единую функцию – перегрузка груза с водных видов транспорта на причалы порта или с причалов порта на водные транспортные средства и не имеют товаров – заменителя.</w:t>
      </w:r>
    </w:p>
    <w:p w:rsidR="00B944FF" w:rsidRDefault="00B944FF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При анализе и оценке состояния конкуренции на рынках погрузо-разгрузочных работ на водном транспорте необходимо учитывать все технические и технологические аспекты оказания соответствующих услуг.</w:t>
      </w:r>
    </w:p>
    <w:p w:rsidR="00B944FF" w:rsidRDefault="00B944FF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4FF" w:rsidRDefault="00B944FF" w:rsidP="00B944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FF">
        <w:rPr>
          <w:rFonts w:ascii="Times New Roman" w:hAnsi="Times New Roman" w:cs="Times New Roman"/>
          <w:b/>
          <w:sz w:val="24"/>
          <w:szCs w:val="24"/>
        </w:rPr>
        <w:t>Определение географических границ рынка погрузо-разгрузочных работ в портах</w:t>
      </w:r>
    </w:p>
    <w:p w:rsidR="00B944FF" w:rsidRDefault="00B944FF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FF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944FF">
        <w:rPr>
          <w:rFonts w:ascii="Times New Roman" w:hAnsi="Times New Roman" w:cs="Times New Roman"/>
          <w:sz w:val="24"/>
          <w:szCs w:val="24"/>
        </w:rPr>
        <w:t xml:space="preserve">вии </w:t>
      </w:r>
      <w:r>
        <w:rPr>
          <w:rFonts w:ascii="Times New Roman" w:hAnsi="Times New Roman" w:cs="Times New Roman"/>
          <w:sz w:val="24"/>
          <w:szCs w:val="24"/>
        </w:rPr>
        <w:t>с Порядком проведения анализа состояния конкуренции на товарном рынке географические границы товарного рынка определяются как границы территории, на которой покупатель (покупатели) приобретает или имеет экономическую возможность приобрес</w:t>
      </w:r>
      <w:r w:rsidR="00312E5D">
        <w:rPr>
          <w:rFonts w:ascii="Times New Roman" w:hAnsi="Times New Roman" w:cs="Times New Roman"/>
          <w:sz w:val="24"/>
          <w:szCs w:val="24"/>
        </w:rPr>
        <w:t>ти товар и не имеет такой возможности за ее пределами.</w:t>
      </w:r>
    </w:p>
    <w:p w:rsidR="00312E5D" w:rsidRDefault="00312E5D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границы рынка погрузо-разгрузочных работ в портах предварительно определяются как локальный рынок в границах порта, с учетом расширения данных границ с возможным включением в границы близлежащих портов (межпортовая конкуренция).</w:t>
      </w:r>
    </w:p>
    <w:p w:rsidR="00312E5D" w:rsidRDefault="00312E5D" w:rsidP="00B94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географических границ товарного рынка погрузо-разгрузочных работ необходимо придерживаться бассейнового принципа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бассейнов и портов указан в приказе ФСТ России от 20.12.2007 № 522-т/1 «Об утверждении ставок портовых сборов и правил их применения в морских портах Российской Федерации».</w:t>
      </w:r>
    </w:p>
    <w:p w:rsidR="00312E5D" w:rsidRPr="008609EB" w:rsidRDefault="00312E5D" w:rsidP="00312E5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8609EB">
        <w:rPr>
          <w:rFonts w:ascii="Times New Roman" w:hAnsi="Times New Roman" w:cs="Times New Roman"/>
          <w:sz w:val="24"/>
          <w:szCs w:val="24"/>
        </w:rPr>
        <w:t>При определении географических границ товарного рынка в порту принимаются следующие условия:</w:t>
      </w:r>
    </w:p>
    <w:p w:rsidR="00312E5D" w:rsidRPr="008609EB" w:rsidRDefault="00312E5D" w:rsidP="00312E5D">
      <w:pPr>
        <w:jc w:val="both"/>
        <w:rPr>
          <w:rFonts w:ascii="Times New Roman" w:hAnsi="Times New Roman" w:cs="Times New Roman"/>
          <w:sz w:val="24"/>
          <w:szCs w:val="24"/>
        </w:rPr>
      </w:pPr>
      <w:r w:rsidRPr="008609EB">
        <w:rPr>
          <w:rFonts w:ascii="Times New Roman" w:hAnsi="Times New Roman" w:cs="Times New Roman"/>
          <w:sz w:val="24"/>
          <w:szCs w:val="24"/>
        </w:rPr>
        <w:t xml:space="preserve">      - местонахождение потребителей услуг </w:t>
      </w:r>
    </w:p>
    <w:p w:rsidR="00312E5D" w:rsidRPr="008609EB" w:rsidRDefault="00312E5D" w:rsidP="00312E5D">
      <w:pPr>
        <w:jc w:val="both"/>
        <w:rPr>
          <w:rFonts w:ascii="Times New Roman" w:hAnsi="Times New Roman" w:cs="Times New Roman"/>
          <w:sz w:val="24"/>
          <w:szCs w:val="24"/>
        </w:rPr>
      </w:pPr>
      <w:r w:rsidRPr="008609EB">
        <w:rPr>
          <w:rFonts w:ascii="Times New Roman" w:hAnsi="Times New Roman" w:cs="Times New Roman"/>
          <w:sz w:val="24"/>
          <w:szCs w:val="24"/>
        </w:rPr>
        <w:t xml:space="preserve">      - наличие альтернативных пунктов предоставления услуг, т.е. портов, через которые потребитель имеет возможность отправить или получить груз, в случае повышения цен на услуги в анализируемом порту. При установлении такой возможности учитывается доступность транспортных коммуникаций, используя которые потребитель может доставить груз в порт или из порта, стоимость доставки грузов в порт или из порта.</w:t>
      </w:r>
    </w:p>
    <w:p w:rsidR="008609EB" w:rsidRDefault="00312E5D" w:rsidP="008609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9EB">
        <w:rPr>
          <w:rFonts w:ascii="Times New Roman" w:hAnsi="Times New Roman" w:cs="Times New Roman"/>
          <w:sz w:val="24"/>
          <w:szCs w:val="24"/>
        </w:rPr>
        <w:t xml:space="preserve">           Географические границы товарного рынка определяются экономическими, технологическими, административными барьерами, ограничивающими возможность участия покупателей в приобретении данного товара на рассматриваемой территории, и устанавливают территорию, на которой покупатели из выделенной группы имеют возможность приобрести </w:t>
      </w:r>
    </w:p>
    <w:p w:rsidR="00663EF4" w:rsidRPr="008609EB" w:rsidRDefault="00663EF4" w:rsidP="008609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E5D" w:rsidRDefault="008609EB" w:rsidP="008609E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EB">
        <w:rPr>
          <w:rFonts w:ascii="Times New Roman" w:hAnsi="Times New Roman" w:cs="Times New Roman"/>
          <w:b/>
          <w:sz w:val="24"/>
          <w:szCs w:val="24"/>
        </w:rPr>
        <w:t>Определение состава поставщиков и потребителей услуг по погрузке и выгрузке грузов в портах</w:t>
      </w:r>
    </w:p>
    <w:p w:rsidR="009E2D71" w:rsidRDefault="008609EB" w:rsidP="008609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поставщиков услуг по погрузке и выгрузке грузов в портах, включаются хозяйствующие субъекты, оказывающие такие услуги в анализируемый период времени. Хозяйствующие субъекты, действующие на рассматриваемом рынке</w:t>
      </w:r>
      <w:r w:rsidR="00D01E6A">
        <w:rPr>
          <w:rFonts w:ascii="Times New Roman" w:hAnsi="Times New Roman" w:cs="Times New Roman"/>
          <w:sz w:val="24"/>
          <w:szCs w:val="24"/>
        </w:rPr>
        <w:t>:</w:t>
      </w:r>
    </w:p>
    <w:p w:rsidR="00010ACB" w:rsidRDefault="00010ACB" w:rsidP="00010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ACB" w:rsidRPr="00010ACB" w:rsidRDefault="00010ACB" w:rsidP="00010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E6A" w:rsidRDefault="00D01E6A" w:rsidP="00D0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услуг-заменителей, включаемых в определенную товарную группу (продуктовые границы) осуществляются по критерию взаимозаменяемости.</w:t>
      </w: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Критериями взаимозаменяемости являются:</w:t>
      </w: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функциональная взаимозаменяемость различных услуг, которая устанавливается путем сопоставления цели потребления данной услуги, которая устанавливается путем сопоставления цели потребления данной услуги и ее предполагаемых заменителей.</w:t>
      </w: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сходство потребительских свойств услуги и ее заменителей, которое устанавливается в результате сопоставления физических, технических, эксплуатационных, ценовых характеристик услуги и ее предполагаемых заменителей.</w:t>
      </w: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наиболее явного аспекта взаимозаменяемости – с точки зрения потребителя услуги, необходимо рассмотреть взаимозаменяемость услуги с точки зрения ее производства или технологической возможности ее предоставления.</w:t>
      </w: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этого, анализируется развитие комплексной транспортной инфраструктуры в месте расположения порта, с точки зрения возможности доставки грузов в регион его тяготения другими видами транспорта. Поскольку водные виды транспорта специализируется главным образом на перевозках массовых грузов на значительные расстояния, в качестве альтернативных вариантов доставки рассматриваются перевозки железнодорожным транспортом.</w:t>
      </w:r>
    </w:p>
    <w:p w:rsidR="00653F08" w:rsidRDefault="00653F08" w:rsidP="00653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того, анализируется возможность доставки грузов морским или внутренним водным транспортом  через близлежащие порты соседних государств, поскольку с точки зрения анализа и оценки рынка в других портах также следует рассматривать как услугу-заменитель.     </w:t>
      </w:r>
    </w:p>
    <w:p w:rsidR="00653F08" w:rsidRDefault="00653F08" w:rsidP="00653F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анализа альтернативных схем доставки грузов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другими видами транспорта, а также заменителей данной услуги не установлено.</w:t>
      </w:r>
      <w:r w:rsidRPr="007B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6A" w:rsidRPr="00D01E6A" w:rsidRDefault="00D01E6A" w:rsidP="006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08" w:rsidRPr="00653F08" w:rsidRDefault="00653F08" w:rsidP="00653F08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08">
        <w:rPr>
          <w:rFonts w:ascii="Times New Roman" w:hAnsi="Times New Roman" w:cs="Times New Roman"/>
          <w:b/>
          <w:sz w:val="24"/>
          <w:szCs w:val="24"/>
        </w:rPr>
        <w:t>Расчет объема товарного рынка и долей хозяйствующих</w:t>
      </w:r>
    </w:p>
    <w:p w:rsidR="00653F08" w:rsidRPr="00653F08" w:rsidRDefault="00653F08" w:rsidP="00653F08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08">
        <w:rPr>
          <w:rFonts w:ascii="Times New Roman" w:hAnsi="Times New Roman" w:cs="Times New Roman"/>
          <w:b/>
          <w:sz w:val="24"/>
          <w:szCs w:val="24"/>
        </w:rPr>
        <w:t>субъектов</w:t>
      </w:r>
    </w:p>
    <w:p w:rsidR="00653F08" w:rsidRPr="00D3486B" w:rsidRDefault="00653F08" w:rsidP="00653F08">
      <w:pPr>
        <w:pStyle w:val="3"/>
        <w:spacing w:after="0"/>
        <w:ind w:left="0" w:firstLine="709"/>
        <w:jc w:val="center"/>
      </w:pPr>
    </w:p>
    <w:p w:rsidR="00D01E6A" w:rsidRDefault="00653F08" w:rsidP="00653F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каждого сегмента товарного рынка услуг по погрузке-выгрузке грузов в портах и долей хозяйствующих субъектов на рынке осуществляется отдельно (насыпные и навалочные грузы; зерно; генеральные грузы; наливные грузы) на основании показателя грузооборота, исчисляемого в натуральном выражении.</w:t>
      </w:r>
    </w:p>
    <w:p w:rsidR="00653F08" w:rsidRPr="00D01E6A" w:rsidRDefault="00653F08" w:rsidP="00653F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услуг предоставляемых на рынке погрузо-разгрузочных работ в портах определяется как сумма грузооборота хозяйствующих субъектов, осуществляющих в географических границах рынка погрузку и выгрузку определенного вида груза по каждому сегменту товарного рынка.</w:t>
      </w:r>
    </w:p>
    <w:p w:rsidR="00653F08" w:rsidRDefault="00653F08" w:rsidP="006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Pr="00FD3CD6" w:rsidRDefault="00FD3CD6" w:rsidP="00663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Default="00FD3CD6" w:rsidP="00FD3C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C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уровня концентрации товарного рынка</w:t>
      </w:r>
    </w:p>
    <w:p w:rsidR="00FD3CD6" w:rsidRPr="00FD3CD6" w:rsidRDefault="00FD3CD6" w:rsidP="00FD3C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3CD6" w:rsidRPr="00FD3CD6" w:rsidRDefault="00FD3CD6" w:rsidP="00FD3C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CD6">
        <w:rPr>
          <w:rFonts w:ascii="Times New Roman" w:hAnsi="Times New Roman" w:cs="Times New Roman"/>
          <w:sz w:val="24"/>
          <w:szCs w:val="24"/>
        </w:rPr>
        <w:t>Для определения уровня концентрации товарного рынка в соответствующих географических границах в соответствии с пунктом 7.1 Порядка использованы: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711"/>
      <w:r w:rsidRPr="00653F08">
        <w:rPr>
          <w:rFonts w:ascii="Times New Roman" w:hAnsi="Times New Roman" w:cs="Times New Roman"/>
          <w:sz w:val="24"/>
          <w:szCs w:val="24"/>
        </w:rPr>
        <w:t>а) коэффициент рыночной концентрации (CR) - сумма долей на товарном рынке (выраженных в процентах) определенного числа (</w:t>
      </w:r>
      <w:proofErr w:type="spellStart"/>
      <w:r w:rsidRPr="00653F0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53F08">
        <w:rPr>
          <w:rFonts w:ascii="Times New Roman" w:hAnsi="Times New Roman" w:cs="Times New Roman"/>
          <w:sz w:val="24"/>
          <w:szCs w:val="24"/>
        </w:rPr>
        <w:t>) крупнейших хозяйствующих субъектов, действующих на данном рынке:</w:t>
      </w:r>
    </w:p>
    <w:bookmarkEnd w:id="0"/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96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F08">
        <w:rPr>
          <w:rFonts w:ascii="Times New Roman" w:hAnsi="Times New Roman" w:cs="Times New Roman"/>
          <w:sz w:val="24"/>
          <w:szCs w:val="24"/>
        </w:rPr>
        <w:t>,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sz w:val="24"/>
          <w:szCs w:val="24"/>
        </w:rPr>
        <w:t>где: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sz w:val="24"/>
          <w:szCs w:val="24"/>
        </w:rPr>
        <w:t>D - выраженная в процентах доля i-го крупнейшего хозяйствующего субъекта, действующего на товарном рынке;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0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53F08">
        <w:rPr>
          <w:rFonts w:ascii="Times New Roman" w:hAnsi="Times New Roman" w:cs="Times New Roman"/>
          <w:sz w:val="24"/>
          <w:szCs w:val="24"/>
        </w:rPr>
        <w:t xml:space="preserve"> - число рассматриваемых крупнейших хозяйствующих субъектов, действующих на данном товарном рынке;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712"/>
      <w:r w:rsidRPr="00653F08">
        <w:rPr>
          <w:rFonts w:ascii="Times New Roman" w:hAnsi="Times New Roman" w:cs="Times New Roman"/>
          <w:sz w:val="24"/>
          <w:szCs w:val="24"/>
        </w:rPr>
        <w:t xml:space="preserve">б) индекс рыночной концентрации </w:t>
      </w:r>
      <w:proofErr w:type="spellStart"/>
      <w:r w:rsidRPr="00653F08">
        <w:rPr>
          <w:rFonts w:ascii="Times New Roman" w:hAnsi="Times New Roman" w:cs="Times New Roman"/>
          <w:sz w:val="24"/>
          <w:szCs w:val="24"/>
        </w:rPr>
        <w:t>Герфиндаля-Гиршмана</w:t>
      </w:r>
      <w:proofErr w:type="spellEnd"/>
      <w:r w:rsidRPr="00653F08">
        <w:rPr>
          <w:rFonts w:ascii="Times New Roman" w:hAnsi="Times New Roman" w:cs="Times New Roman"/>
          <w:sz w:val="24"/>
          <w:szCs w:val="24"/>
        </w:rPr>
        <w:t xml:space="preserve"> (HHI) - сумма квадратов долей (выраженных в процентах) на товарном рынке всех хозяйствующих субъектов, действующих на данном рынке:</w:t>
      </w:r>
    </w:p>
    <w:bookmarkEnd w:id="1"/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19200" cy="6000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F08">
        <w:rPr>
          <w:rFonts w:ascii="Times New Roman" w:hAnsi="Times New Roman" w:cs="Times New Roman"/>
          <w:sz w:val="24"/>
          <w:szCs w:val="24"/>
        </w:rPr>
        <w:t>,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sz w:val="24"/>
          <w:szCs w:val="24"/>
        </w:rPr>
        <w:t>где:</w:t>
      </w:r>
    </w:p>
    <w:p w:rsidR="00FD3CD6" w:rsidRPr="00653F08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sz w:val="24"/>
          <w:szCs w:val="24"/>
        </w:rPr>
        <w:t>D - выраженная в процентах доля i-го хозяйствующего субъекта, действующего на товарном рынке;</w:t>
      </w:r>
    </w:p>
    <w:p w:rsidR="00FD3CD6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08">
        <w:rPr>
          <w:rFonts w:ascii="Times New Roman" w:hAnsi="Times New Roman" w:cs="Times New Roman"/>
          <w:sz w:val="24"/>
          <w:szCs w:val="24"/>
        </w:rPr>
        <w:t xml:space="preserve">N - общее количество хозяйствующих субъектов, действующих на данном товарном рынке. </w:t>
      </w:r>
    </w:p>
    <w:p w:rsidR="00FD3CD6" w:rsidRDefault="00FD3CD6" w:rsidP="00FD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414" w:rsidRPr="00FD3CD6" w:rsidRDefault="00812414" w:rsidP="00FD3C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3F08" w:rsidRDefault="00812414" w:rsidP="008124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14">
        <w:rPr>
          <w:rFonts w:ascii="Times New Roman" w:hAnsi="Times New Roman" w:cs="Times New Roman"/>
          <w:b/>
          <w:sz w:val="24"/>
          <w:szCs w:val="24"/>
        </w:rPr>
        <w:t>Определение барьеров входа на товарный рынок</w:t>
      </w:r>
    </w:p>
    <w:p w:rsidR="00812414" w:rsidRPr="00064CB2" w:rsidRDefault="00812414" w:rsidP="00812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B2">
        <w:rPr>
          <w:rFonts w:ascii="Times New Roman" w:hAnsi="Times New Roman" w:cs="Times New Roman"/>
          <w:sz w:val="24"/>
          <w:szCs w:val="24"/>
        </w:rPr>
        <w:t>Процедура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рынке, включает:</w:t>
      </w:r>
    </w:p>
    <w:p w:rsidR="00812414" w:rsidRPr="00064CB2" w:rsidRDefault="00812414" w:rsidP="00812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B2">
        <w:rPr>
          <w:rFonts w:ascii="Times New Roman" w:hAnsi="Times New Roman" w:cs="Times New Roman"/>
          <w:sz w:val="24"/>
          <w:szCs w:val="24"/>
        </w:rPr>
        <w:t>- выявление наличия (или отсутствия) барьеров входа на рассматриваемый товарный рынок;</w:t>
      </w:r>
    </w:p>
    <w:p w:rsidR="00812414" w:rsidRPr="00064CB2" w:rsidRDefault="00812414" w:rsidP="008124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B2">
        <w:rPr>
          <w:rFonts w:ascii="Times New Roman" w:hAnsi="Times New Roman" w:cs="Times New Roman"/>
          <w:sz w:val="24"/>
          <w:szCs w:val="24"/>
        </w:rPr>
        <w:lastRenderedPageBreak/>
        <w:t>- определение преодолимости выявленных барьеров входа на рассматриваемый товарный рынок.</w:t>
      </w:r>
    </w:p>
    <w:p w:rsidR="00812414" w:rsidRPr="00064CB2" w:rsidRDefault="00812414" w:rsidP="008124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B2">
        <w:rPr>
          <w:rFonts w:ascii="Times New Roman" w:hAnsi="Times New Roman" w:cs="Times New Roman"/>
          <w:sz w:val="24"/>
          <w:szCs w:val="24"/>
        </w:rPr>
        <w:t>К барьерам входа на товарный рынок относятся: экономические ограничения, административные ограничения, стратегия поведения действующих на рынке хозяйствующих субъектов направленная на создание барьеров входа на рынок, наличие среди действующих на рынке хозяйствующих субъектов вертикально-интегрированных хозяйствующих субъектов, которые приводят к созданию барьеров входа на рынок и др.</w:t>
      </w:r>
    </w:p>
    <w:p w:rsidR="00812414" w:rsidRPr="00064CB2" w:rsidRDefault="00812414" w:rsidP="00812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B2">
        <w:rPr>
          <w:rFonts w:ascii="Times New Roman" w:hAnsi="Times New Roman" w:cs="Times New Roman"/>
          <w:sz w:val="24"/>
          <w:szCs w:val="24"/>
        </w:rPr>
        <w:t xml:space="preserve">В целях определения барьеров входа на товарный рынок проведен анкетный опрос хозяйствующих субъектов, осуществляющих деятельность на исследуемом рынке услуг. Хозяйствующим субъектам было предложено оценить степень конкуренции на исследуемом товарном рынке, а так же наличия и преодолимости барьеров, препятствующих входу на товарный рынок. </w:t>
      </w:r>
    </w:p>
    <w:p w:rsidR="00812414" w:rsidRPr="00064CB2" w:rsidRDefault="00812414" w:rsidP="0081241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12414" w:rsidRPr="00064CB2" w:rsidRDefault="00812414" w:rsidP="00812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CB2" w:rsidRPr="008C0A9B" w:rsidRDefault="00064CB2" w:rsidP="00064CB2">
      <w:pPr>
        <w:pStyle w:val="a6"/>
        <w:ind w:firstLine="709"/>
        <w:jc w:val="center"/>
        <w:rPr>
          <w:b/>
        </w:rPr>
      </w:pPr>
      <w:r w:rsidRPr="00D3486B">
        <w:rPr>
          <w:b/>
        </w:rPr>
        <w:t xml:space="preserve">Оценка состояния конкуренции на товарном рынке </w:t>
      </w:r>
    </w:p>
    <w:p w:rsidR="00064CB2" w:rsidRDefault="00064CB2" w:rsidP="00064C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CB2">
        <w:rPr>
          <w:rFonts w:ascii="Times New Roman" w:hAnsi="Times New Roman" w:cs="Times New Roman"/>
          <w:sz w:val="24"/>
          <w:szCs w:val="24"/>
        </w:rPr>
        <w:t xml:space="preserve">Оценка состояния конкуренции на товарном рынке, проведенная в соответствии с пунктом 9.1 Порядка и на основании данных о рыночной концентрации и мнений участников рынка о преодолимости барьеров входа на рынок позволяет сделать вывод о том, что исследованный рынок следует отнести к рынку </w:t>
      </w:r>
      <w:r w:rsidR="00663EF4">
        <w:rPr>
          <w:rFonts w:ascii="Times New Roman" w:hAnsi="Times New Roman" w:cs="Times New Roman"/>
          <w:sz w:val="24"/>
          <w:szCs w:val="24"/>
        </w:rPr>
        <w:t>…</w:t>
      </w:r>
    </w:p>
    <w:p w:rsidR="00064CB2" w:rsidRPr="00064CB2" w:rsidRDefault="00064CB2" w:rsidP="00064C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089" w:rsidRPr="00064CB2" w:rsidRDefault="00852089" w:rsidP="00812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2089" w:rsidRPr="00064CB2" w:rsidSect="004F083E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DC" w:rsidRDefault="007619DC" w:rsidP="0095066F">
      <w:r>
        <w:separator/>
      </w:r>
    </w:p>
  </w:endnote>
  <w:endnote w:type="continuationSeparator" w:id="0">
    <w:p w:rsidR="007619DC" w:rsidRDefault="007619DC" w:rsidP="0095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DC" w:rsidRDefault="007619DC" w:rsidP="0095066F">
      <w:r>
        <w:separator/>
      </w:r>
    </w:p>
  </w:footnote>
  <w:footnote w:type="continuationSeparator" w:id="0">
    <w:p w:rsidR="007619DC" w:rsidRDefault="007619DC" w:rsidP="0095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360"/>
    </w:sdtPr>
    <w:sdtContent>
      <w:p w:rsidR="004F083E" w:rsidRDefault="00CC0E2D">
        <w:pPr>
          <w:pStyle w:val="a8"/>
          <w:jc w:val="center"/>
        </w:pPr>
        <w:fldSimple w:instr=" PAGE   \* MERGEFORMAT ">
          <w:r w:rsidR="00663EF4">
            <w:rPr>
              <w:noProof/>
            </w:rPr>
            <w:t>4</w:t>
          </w:r>
        </w:fldSimple>
      </w:p>
    </w:sdtContent>
  </w:sdt>
  <w:p w:rsidR="004F083E" w:rsidRDefault="004F08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767"/>
    <w:multiLevelType w:val="hybridMultilevel"/>
    <w:tmpl w:val="E52684BA"/>
    <w:lvl w:ilvl="0" w:tplc="802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8FC"/>
    <w:rsid w:val="00010ACB"/>
    <w:rsid w:val="00064CB2"/>
    <w:rsid w:val="00086FF7"/>
    <w:rsid w:val="0009155A"/>
    <w:rsid w:val="000C6B5E"/>
    <w:rsid w:val="00192D7A"/>
    <w:rsid w:val="0024746E"/>
    <w:rsid w:val="002B31CE"/>
    <w:rsid w:val="00312203"/>
    <w:rsid w:val="00312E5D"/>
    <w:rsid w:val="003C124C"/>
    <w:rsid w:val="00481891"/>
    <w:rsid w:val="004F083E"/>
    <w:rsid w:val="00525926"/>
    <w:rsid w:val="005A6AB2"/>
    <w:rsid w:val="005C01BE"/>
    <w:rsid w:val="005D18FC"/>
    <w:rsid w:val="00610EA0"/>
    <w:rsid w:val="00653F08"/>
    <w:rsid w:val="00663EF4"/>
    <w:rsid w:val="006E6636"/>
    <w:rsid w:val="007619DC"/>
    <w:rsid w:val="00812414"/>
    <w:rsid w:val="00852089"/>
    <w:rsid w:val="008609EB"/>
    <w:rsid w:val="009204B7"/>
    <w:rsid w:val="0095066F"/>
    <w:rsid w:val="009C2010"/>
    <w:rsid w:val="009E2D71"/>
    <w:rsid w:val="00A97DA6"/>
    <w:rsid w:val="00AA3169"/>
    <w:rsid w:val="00B57866"/>
    <w:rsid w:val="00B944FF"/>
    <w:rsid w:val="00CC0E2D"/>
    <w:rsid w:val="00D01E6A"/>
    <w:rsid w:val="00D7464D"/>
    <w:rsid w:val="00D800C7"/>
    <w:rsid w:val="00D87B0A"/>
    <w:rsid w:val="00E321CB"/>
    <w:rsid w:val="00F74B98"/>
    <w:rsid w:val="00F84F17"/>
    <w:rsid w:val="00FD3CD6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7"/>
  </w:style>
  <w:style w:type="paragraph" w:styleId="7">
    <w:name w:val="heading 7"/>
    <w:basedOn w:val="a"/>
    <w:next w:val="a"/>
    <w:link w:val="70"/>
    <w:qFormat/>
    <w:rsid w:val="005D18FC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D18FC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D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2E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2E5D"/>
    <w:rPr>
      <w:sz w:val="16"/>
      <w:szCs w:val="16"/>
    </w:rPr>
  </w:style>
  <w:style w:type="paragraph" w:styleId="a3">
    <w:name w:val="List Paragraph"/>
    <w:basedOn w:val="a"/>
    <w:uiPriority w:val="34"/>
    <w:qFormat/>
    <w:rsid w:val="00D01E6A"/>
    <w:pPr>
      <w:ind w:left="720"/>
      <w:contextualSpacing/>
    </w:pPr>
  </w:style>
  <w:style w:type="paragraph" w:customStyle="1" w:styleId="ConsPlusNonformat">
    <w:name w:val="ConsPlusNonformat"/>
    <w:uiPriority w:val="99"/>
    <w:rsid w:val="00653F0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64CB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6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0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066F"/>
  </w:style>
  <w:style w:type="paragraph" w:styleId="aa">
    <w:name w:val="footer"/>
    <w:basedOn w:val="a"/>
    <w:link w:val="ab"/>
    <w:uiPriority w:val="99"/>
    <w:semiHidden/>
    <w:unhideWhenUsed/>
    <w:rsid w:val="00950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12</cp:revision>
  <dcterms:created xsi:type="dcterms:W3CDTF">2014-02-09T11:00:00Z</dcterms:created>
  <dcterms:modified xsi:type="dcterms:W3CDTF">2014-02-19T10:02:00Z</dcterms:modified>
</cp:coreProperties>
</file>