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color="auto" w:fill="auto" w:val="clear"/>
          </w:tcPr>
          <w:p>
            <w:pPr>
              <w:pStyle w:val="Style15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66CC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66CC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0066CC"/>
                <w:sz w:val="24"/>
              </w:rPr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b w:val="false"/>
                <w:b w:val="false"/>
                <w:color w:val="0066CC"/>
                <w:sz w:val="32"/>
              </w:rPr>
            </w:pPr>
            <w:r>
              <w:rPr>
                <w:rFonts w:cs="Times New Roman" w:ascii="Times New Roman" w:hAnsi="Times New Roman"/>
                <w:b w:val="false"/>
                <w:color w:val="0066CC"/>
                <w:sz w:val="32"/>
              </w:rPr>
            </w:r>
          </w:p>
          <w:p>
            <w:pPr>
              <w:pStyle w:val="3"/>
              <w:jc w:val="center"/>
              <w:rPr/>
            </w:pPr>
            <w:r>
              <w:rPr>
                <w:rFonts w:cs="Times New Roman" w:ascii="Times New Roman" w:hAnsi="Times New Roman"/>
                <w:color w:val="0066CC"/>
                <w:sz w:val="32"/>
              </w:rPr>
              <w:t>Р Е Ш Е Н И 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cs="Times New Roman" w:ascii="Times New Roman" w:hAnsi="Times New Roman"/>
                <w:color w:val="0066CC"/>
              </w:rPr>
              <w:drawing>
                <wp:anchor behindDoc="0" distT="0" distB="0" distL="133985" distR="114935" simplePos="0" locked="0" layoutInCell="1" allowOverlap="1" relativeHeight="6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-1016635</wp:posOffset>
                  </wp:positionV>
                  <wp:extent cx="674370" cy="666750"/>
                  <wp:effectExtent l="0" t="0" r="0" b="0"/>
                  <wp:wrapTight wrapText="bothSides">
                    <wp:wrapPolygon edited="0">
                      <wp:start x="-1800" y="0"/>
                      <wp:lineTo x="-1800" y="19757"/>
                      <wp:lineTo x="21250" y="19757"/>
                      <wp:lineTo x="21250" y="0"/>
                      <wp:lineTo x="-1800" y="0"/>
                    </wp:wrapPolygon>
                  </wp:wrapTight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по результатам внеплановой проверки соблюдения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66CC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законодательства о контрактной системе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color w:val="0066CC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66CC"/>
                <w:sz w:val="26"/>
                <w:szCs w:val="26"/>
              </w:rPr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01.10.2018г.                                                                                                             № 01-48/14-2018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Нарьян-Мар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Резолютивная часть решения оглашена 01.10.2018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В полном объеме решение изготовлено 04.10.2018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Комиссия по контролю в сфере закупок для государственных и муниципальных нужд Управления Федеральной антимонопольной службы по Ненецкому автономному округу (далее - Комиссия) в составе: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sz w:val="24"/>
          <w:szCs w:val="24"/>
        </w:rPr>
        <w:t>Председатель Комиссии:</w:t>
      </w:r>
    </w:p>
    <w:p>
      <w:pPr>
        <w:pStyle w:val="Style20"/>
        <w:keepNext/>
        <w:spacing w:before="0" w:after="0"/>
        <w:contextualSpacing/>
        <w:jc w:val="both"/>
        <w:rPr>
          <w:b w:val="false"/>
          <w:b w:val="false"/>
          <w:szCs w:val="24"/>
        </w:rPr>
      </w:pPr>
      <w:r>
        <w:rPr/>
      </w:r>
    </w:p>
    <w:p>
      <w:pPr>
        <w:pStyle w:val="Style20"/>
        <w:keepNext/>
        <w:spacing w:before="0" w:after="0"/>
        <w:ind w:firstLine="709"/>
        <w:contextualSpacing/>
        <w:jc w:val="both"/>
        <w:rPr>
          <w:b w:val="false"/>
          <w:b w:val="false"/>
          <w:szCs w:val="24"/>
        </w:rPr>
      </w:pPr>
      <w:r>
        <w:rPr>
          <w:b w:val="false"/>
          <w:sz w:val="24"/>
          <w:szCs w:val="24"/>
        </w:rPr>
        <w:t>Члены Комиссии:</w:t>
      </w:r>
    </w:p>
    <w:p>
      <w:pPr>
        <w:pStyle w:val="Style20"/>
        <w:keepNext/>
        <w:spacing w:before="0" w:after="0"/>
        <w:contextualSpacing/>
        <w:jc w:val="both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/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ab/>
        <w:t xml:space="preserve">руководствуясь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статьей 99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Закон), на основании информации о нарушении законодательства о контрактной системе,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направленная по подведомственности Федеральной антимонопольной службой (вх. 1898)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провела внеплановую проверку действий  аукционной комиссии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муниципального предприятия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/>
        </w:rPr>
        <w:t>Заполярного района «Севержилкомсервис»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 на предмет соблюдения законодательства о контрактной системе при проведении электронного аукциона на право заключения контракта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val="ru-RU"/>
        </w:rPr>
        <w:t>«Выполнение работ по обшивке склада-ангара»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highlight w:val="white"/>
          <w:u w:val="none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 xml:space="preserve">при участии представителя муниципального предприятия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  <w:lang w:val="ru-RU"/>
        </w:rPr>
        <w:t>Заполярного района «Севержилкомсервис» по доверенности от 17.09.2018г №2675-01.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проведении проверки и рассмотрении материалов дела № 01-48/14-2018 Комиссия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УСТАНОВИЛА: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before="0" w:after="0"/>
        <w:ind w:left="0" w:firstLine="709"/>
        <w:contextualSpacing/>
        <w:jc w:val="both"/>
        <w:rPr/>
      </w:pPr>
      <w:r>
        <w:rPr>
          <w:b w:val="false"/>
          <w:color w:val="00000A"/>
          <w:sz w:val="24"/>
          <w:szCs w:val="24"/>
        </w:rPr>
        <w:t xml:space="preserve">21.05.2018 года в единой информационной системе (далее по тексту - ЕИС) размещено извещение N </w:t>
      </w:r>
      <w:r>
        <w:rPr>
          <w:b w:val="false"/>
          <w:i w:val="false"/>
          <w:strike w:val="false"/>
          <w:dstrike w:val="false"/>
          <w:color w:val="00000A"/>
          <w:sz w:val="24"/>
          <w:szCs w:val="24"/>
          <w:highlight w:val="white"/>
          <w:u w:val="none"/>
          <w:lang w:val="ru-RU"/>
        </w:rPr>
        <w:t>0584300000318000074</w:t>
      </w:r>
      <w:r>
        <w:rPr>
          <w:b w:val="false"/>
          <w:color w:val="00000A"/>
          <w:sz w:val="24"/>
          <w:szCs w:val="24"/>
        </w:rPr>
        <w:t xml:space="preserve"> о проведении электронного аукциона (22.05.2018г изменения извещения о проведении электронного аукциона); наименование объекта закупки — </w:t>
      </w:r>
      <w:r>
        <w:rPr>
          <w:b w:val="false"/>
          <w:i w:val="false"/>
          <w:strike w:val="false"/>
          <w:dstrike w:val="false"/>
          <w:color w:val="00000A"/>
          <w:sz w:val="24"/>
          <w:szCs w:val="24"/>
          <w:u w:val="none"/>
          <w:lang w:val="ru-RU"/>
        </w:rPr>
        <w:t>Выполнение работ по обшивке склада-ангара</w:t>
      </w:r>
      <w:r>
        <w:rPr>
          <w:b w:val="false"/>
          <w:color w:val="00000A"/>
          <w:sz w:val="24"/>
          <w:szCs w:val="24"/>
        </w:rPr>
        <w:t>; началь</w:t>
      </w:r>
      <w:r>
        <w:rPr>
          <w:b w:val="false"/>
          <w:color w:val="000000"/>
          <w:sz w:val="24"/>
          <w:szCs w:val="24"/>
        </w:rPr>
        <w:t>ная (максимальная) цена контракта 3312671,00 рублей.</w:t>
      </w:r>
    </w:p>
    <w:p>
      <w:pPr>
        <w:pStyle w:val="Normal"/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Согласно протоколу рассмотрения заявок на участие в электронном аукционе от 08.06.2018г на участие в аукционе было подано 22 заявки.</w:t>
      </w:r>
    </w:p>
    <w:p>
      <w:pPr>
        <w:pStyle w:val="Normal"/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протоколу проведения электронного аукциона от 13.06.2018г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поданы ценовые предложения от двенадцати участников, наименьшее поступило от участника за порядковым номером заявки 15.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В соответствии с протоколом подведения итогов электронного аукциона от 18.06.2018, заявки за порядковыми номерами 15, 5, 13, 10, 7, 18, 20 признаны соответствующими требованиям аукциона, заявки за порядковыми номерами 8, 6, 4 признаны не  соответствующими требованиям аукционной документации ввиду непредставления декларации о соответствии участника такого аукциона требованиям, установленным пунктами 3-9 части 1 статьи 31 Федерального закона №44-ФЗ.</w:t>
      </w:r>
    </w:p>
    <w:p>
      <w:pPr>
        <w:pStyle w:val="Normal"/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 xml:space="preserve">Осуществление закупок для обеспечения государственных и муниципальных нужд регулируется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Законом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 контрактной системе.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Определение поставщиков (подрядчиков, исполнителей) путем проведения аукционов регулируется положениями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параграфа 2 главы 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N 44-ФЗ.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При этом при проведении аукционов в электронной форме (электронных аукционов) применению также подлежат общие положения об осуществлении закупок, установленные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параграфом 1 главы 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обозначенного закона (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ст. 24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47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).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Согласно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2 ч. 1 ст. 64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данного закона документация об электронном аукционе наряду с информацией, указанной в извещении о проведении такого аукциона, в числе прочего должна содержать требования к содержанию, составу заявки на участие в таком аукционе в соответствии с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ч. 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6 ст. 66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закона.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Заявка на участие в электронном аукционе состоит из двух частей, при этом вторая часть заявки должна содержать, в том числе, декларацию о соответствии участника такого аукциона требованиям, установленным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9 ч. 1 ст. 31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рассматриваемого закона (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ч. 2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2 ч. 5 ст. 66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Закона).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Согласно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 xml:space="preserve">п. 7 ч. 1 ст. 31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Закона о контрактной системе при осуществлении закупки заказчик устанавливает следующие единые требования к уча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стникам закупки: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ст. 289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290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291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291.1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В силу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7.1 ч. 1 ст. 31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ст. 19.28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Кодекса Российской Федерации об административных правонарушениях.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Кроме того, в соответствии с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10 ч. 1 ст. 31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 к участникам закупки пред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>ъявляется требование о том, что участник закупки не является офшорной компанией.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Согласно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части 1.1 статьи 31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 заказчик вправе установить требование об отсутствии в предусмотренном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Законом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>
      <w:pPr>
        <w:pStyle w:val="Normal"/>
        <w:spacing w:before="0" w:after="0"/>
        <w:ind w:left="0" w:firstLine="540"/>
        <w:contextualSpacing/>
        <w:jc w:val="both"/>
        <w:rPr>
          <w:i/>
          <w:i/>
          <w:iCs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4"/>
          <w:szCs w:val="24"/>
          <w:u w:val="none"/>
        </w:rPr>
        <w:t>Пунктом 6 Документации об аукционе установлены требования к участникам закупки:</w:t>
      </w:r>
    </w:p>
    <w:p>
      <w:pPr>
        <w:pStyle w:val="Normal"/>
        <w:widowControl w:val="false"/>
        <w:tabs>
          <w:tab w:val="left" w:pos="360" w:leader="none"/>
          <w:tab w:val="left" w:pos="1260" w:leader="none"/>
        </w:tabs>
        <w:spacing w:before="0" w:after="0"/>
        <w:ind w:firstLine="567"/>
        <w:contextualSpacing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6.1. К участникам электронного аукциона установлены следующие единые требования, в том числе: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>
      <w:pPr>
        <w:pStyle w:val="Normal"/>
        <w:widowControl w:val="false"/>
        <w:tabs>
          <w:tab w:val="left" w:pos="360" w:leader="none"/>
          <w:tab w:val="left" w:pos="1260" w:leader="none"/>
        </w:tabs>
        <w:spacing w:before="0" w:after="0"/>
        <w:ind w:firstLine="567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8) Участник электронного аукциона не является офшорной компанией.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 xml:space="preserve">Пунктом 6.2. установлено: «Если указано в Информационной карте, заказчик устанавливает требование в соответствии с частью 1.1 статьи 31 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  <w:lang w:bidi="en-US"/>
        </w:rPr>
        <w:t>Федерального закона от 05.04.2013 № 44-ФЗ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лица».</w:t>
      </w:r>
    </w:p>
    <w:p>
      <w:pPr>
        <w:pStyle w:val="Normal"/>
        <w:widowControl w:val="false"/>
        <w:tabs>
          <w:tab w:val="left" w:pos="360" w:leader="none"/>
          <w:tab w:val="left" w:pos="1260" w:leader="none"/>
        </w:tabs>
        <w:spacing w:before="0" w:after="0"/>
        <w:ind w:firstLine="567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Пункт 6.3 Документации об аукционе содержит: «Указанные в пунктах 6.1 - 6.2 требования предъявляются в равной мере ко всем участникам электронного аукциона».</w:t>
      </w:r>
    </w:p>
    <w:p>
      <w:pPr>
        <w:pStyle w:val="Normal"/>
        <w:widowControl w:val="false"/>
        <w:tabs>
          <w:tab w:val="left" w:pos="360" w:leader="none"/>
          <w:tab w:val="left" w:pos="1260" w:leader="none"/>
        </w:tabs>
        <w:spacing w:before="0" w:after="0"/>
        <w:ind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 xml:space="preserve">Пунктом 9 Информационной карты электронного аукциона установлено: «Требование в соответствии с частью 1.1 статьи 31 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  <w:lang w:bidi="en-US"/>
        </w:rPr>
        <w:t>Федерального закона от 05.04.2013 № 44-ФЗ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лица». </w:t>
      </w:r>
    </w:p>
    <w:p>
      <w:pPr>
        <w:pStyle w:val="Normal"/>
        <w:widowControl w:val="false"/>
        <w:tabs>
          <w:tab w:val="left" w:pos="360" w:leader="none"/>
          <w:tab w:val="left" w:pos="1260" w:leader="none"/>
        </w:tabs>
        <w:spacing w:before="0" w:after="0"/>
        <w:ind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В соответствии с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FF"/>
          <w:sz w:val="24"/>
          <w:szCs w:val="24"/>
          <w:u w:val="none"/>
        </w:rPr>
        <w:t>частью 2 статьи 69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основаниям, которые предусмотрены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FF"/>
          <w:sz w:val="24"/>
          <w:szCs w:val="24"/>
          <w:u w:val="none"/>
        </w:rPr>
        <w:t>статьей 69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ов такого аукциона, получивших аккредитацию на электронной площадке.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В соответствии с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частью 6 статьи 69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  (в редакции, действовавшей на дату объявления аукциона)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1) непредставления документов и информации, которые предусмотрены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пунктами 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5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8 части 2 статьи 62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частями 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5 статьи 66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2) несоответствия участника такого аукциона требованиям, установленным в соответствии с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частью 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частями 1.1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2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2.1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(при наличии таких требований) статьи 31 Закона о контрактной системе.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Закон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 контрактной системе не содержит прямого указания на форму декларирования. Вместе с тем закон указывает на обязательность декларирования соответствия участника аукциона всем требованиям, установленным данным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законом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. В том случае, если участник закупки не отвечает хотя бы одному из поименованных в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9 ч. 1 ст. 31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N 44-ФЗ требований, аукционная комиссия отклоняет заявку такого участника, на что также указано в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2 ч. 6 ст. 69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N 44-ФЗ.</w:t>
      </w:r>
    </w:p>
    <w:p>
      <w:pPr>
        <w:pStyle w:val="Normal"/>
        <w:spacing w:before="0" w:after="0"/>
        <w:ind w:left="0"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 xml:space="preserve">Как усматривается из материалов дела, в данном конкретном случае, несмотря на то, что участником закупки за порядковым номером 15 представлена декларация с указанием в заголовке: "Декларация о соответствии участника электронного аукциона требованиям, установленным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в соответствии с частью 1 статьи 31 Федерального закона от 05 апреля 2013 года № 44-ФЗ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в составе второй части заявки данного участника содержание декларации, когда он принял решение детально обозначить те положения, которым он соответствует, не позволяет сделать однозначный вывод о его соответствии отмеченным положениям. В такой ситуации ее фактическое содержание не может подтверждать соответствие заявителя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7 ч. 1 ст. 31, п. 7.1 ч. 1 ст. 31, п. 10 ч. 1 ст. 31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  ввиду отсутствия в ней соответствующего указания.</w:t>
      </w:r>
    </w:p>
    <w:p>
      <w:pPr>
        <w:pStyle w:val="Normal"/>
        <w:spacing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 xml:space="preserve">Кроме того, Комиссия отмечает, в соответствии с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ч. 3 ст. 30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 при определении поставщиков (подрядчиков, исполнителей) способами, указанными в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ч. 1 ст. 30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Согласно извещению о проведении закупки и документации о закупке Заказчиком установлено ограничение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организации.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составе заявки участника закупки за порядковым номером 15 отсутствует  декларации о принадлежности участника электронного аукциона к субъектам малого предпринимательства или социально ориентированным некоммерческим организациям.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Из пояснений представителя Заказчика следует, что заявка участника закупки рассматривалась комиссией на соответствие требованиям, установленным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п. 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-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 xml:space="preserve">9 ч. 1 ст. 31,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посредством проверки информации, размещенной в сети Интернет, документальные подтверждения в материалы дела не представлены.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Одновременно Ненецкое УФАС России обращает внимание, что действия комиссии контрольного органа при рассмотрении жалоб и проведения внеплановых проверок не подменяют действия комиссии по осуществлению закупок с возложенными на нее полномочиями по рассмотрению заявок участников закупок и проверке их соответствия положениям документации о закупке и Закона о контрактной системе.</w:t>
      </w:r>
    </w:p>
    <w:p>
      <w:pPr>
        <w:pStyle w:val="Normal"/>
        <w:spacing w:before="0" w:after="0"/>
        <w:ind w:left="0" w:firstLine="540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Таким образом, Комиссия приходит к выводу о том, что действия Аукционной комиссии </w:t>
      </w:r>
      <w:r>
        <w:rPr>
          <w:rFonts w:cs="Times New Roman" w:ascii="Times New Roman" w:hAnsi="Times New Roman"/>
          <w:b w:val="false"/>
          <w:i w:val="false"/>
          <w:iCs/>
          <w:strike w:val="false"/>
          <w:dstrike w:val="false"/>
          <w:sz w:val="24"/>
          <w:szCs w:val="24"/>
          <w:u w:val="none"/>
        </w:rPr>
        <w:t xml:space="preserve">муниципального предприятия </w:t>
      </w:r>
      <w:r>
        <w:rPr>
          <w:rFonts w:cs="Times New Roman" w:ascii="Times New Roman" w:hAnsi="Times New Roman"/>
          <w:b w:val="false"/>
          <w:i w:val="false"/>
          <w:iCs/>
          <w:strike w:val="false"/>
          <w:dstrike w:val="false"/>
          <w:sz w:val="24"/>
          <w:szCs w:val="24"/>
          <w:u w:val="none"/>
          <w:lang w:val="ru-RU"/>
        </w:rPr>
        <w:t>Заполярного района «Севержилкомсервис»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принявшей по результатам рассмотрения вторых частей заявок на участие в Аукционе неправомерное решение о соответствии заявки под номером 15 требованиям документации об Аукционе 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Закона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 контрактной системе, нарушают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пункта 1 части 6 статьи 69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Закона о контрактной системе, и содержат признаки состава административного правонарушения, предусмотренного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4"/>
          <w:szCs w:val="24"/>
          <w:u w:val="none"/>
        </w:rPr>
        <w:t>частью 2 статьи 7.30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Кодекса Российской Федерации об административных правонарушениях.</w:t>
      </w:r>
    </w:p>
    <w:p>
      <w:pPr>
        <w:pStyle w:val="Normal"/>
        <w:spacing w:before="0"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Иных нарушений в действиях Аукционной комиссии Заказчика при рассмотрении заявок участников закупки не установлено.</w:t>
      </w:r>
    </w:p>
    <w:p>
      <w:pPr>
        <w:pStyle w:val="Normal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Исходя из фактически сложившихся обстоятельств, сведений, представленных заказчиком, информации, содержащейся на официальном сайте, руководствуясь статьей 99 Закона о контрактной системе, Комиссия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РЕШИЛА: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1"/>
        <w:widowControl/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1. Признать в действиях аукционной комиссии Заказчика - </w:t>
      </w:r>
      <w:r>
        <w:rPr>
          <w:rFonts w:cs="Times New Roman" w:ascii="Times New Roman" w:hAnsi="Times New Roman"/>
          <w:b w:val="false"/>
          <w:i w:val="false"/>
          <w:iCs/>
          <w:strike w:val="false"/>
          <w:dstrike w:val="false"/>
          <w:sz w:val="24"/>
          <w:szCs w:val="24"/>
          <w:u w:val="none"/>
        </w:rPr>
        <w:t xml:space="preserve">муниципального предприятия </w:t>
      </w:r>
      <w:r>
        <w:rPr>
          <w:rFonts w:cs="Times New Roman" w:ascii="Times New Roman" w:hAnsi="Times New Roman"/>
          <w:b w:val="false"/>
          <w:i w:val="false"/>
          <w:iCs/>
          <w:strike w:val="false"/>
          <w:dstrike w:val="false"/>
          <w:sz w:val="24"/>
          <w:szCs w:val="24"/>
          <w:u w:val="none"/>
          <w:lang w:val="ru-RU"/>
        </w:rPr>
        <w:t xml:space="preserve">Заполярного района «Севержилкомсервис» нарушение </w:t>
      </w:r>
      <w:r>
        <w:rPr>
          <w:rFonts w:cs="Times New Roman" w:ascii="Times New Roman" w:hAnsi="Times New Roman"/>
          <w:b w:val="false"/>
          <w:i w:val="false"/>
          <w:iCs/>
          <w:strike w:val="false"/>
          <w:dstrike w:val="false"/>
          <w:color w:val="0000FF"/>
          <w:sz w:val="24"/>
          <w:szCs w:val="24"/>
          <w:u w:val="none"/>
          <w:lang w:val="ru-RU"/>
        </w:rPr>
        <w:t xml:space="preserve">пункта 1 части 6 статьи 69 </w:t>
      </w:r>
      <w:r>
        <w:rPr>
          <w:rFonts w:cs="Times New Roman" w:ascii="Times New Roman" w:hAnsi="Times New Roman"/>
          <w:b w:val="false"/>
          <w:i w:val="false"/>
          <w:iCs/>
          <w:strike w:val="false"/>
          <w:dstrike w:val="false"/>
          <w:sz w:val="24"/>
          <w:szCs w:val="24"/>
          <w:u w:val="none"/>
          <w:lang w:val="ru-RU"/>
        </w:rPr>
        <w:t>Закона о контрактной системе.</w:t>
      </w:r>
    </w:p>
    <w:p>
      <w:pPr>
        <w:pStyle w:val="ConsPlusNormal1"/>
        <w:widowControl/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iCs/>
          <w:strike w:val="false"/>
          <w:dstrike w:val="false"/>
          <w:sz w:val="24"/>
          <w:szCs w:val="24"/>
          <w:u w:val="none"/>
          <w:lang w:val="ru-RU"/>
        </w:rPr>
        <w:tab/>
        <w:t>2. Предписание об устранении выявленного нарушения законодательства о контрактной системе не выдавать в связи с тем, что контракт заключен.</w:t>
      </w:r>
    </w:p>
    <w:p>
      <w:pPr>
        <w:pStyle w:val="ConsPlusNormal1"/>
        <w:widowControl/>
        <w:spacing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iCs/>
          <w:strike w:val="false"/>
          <w:dstrike w:val="false"/>
          <w:sz w:val="24"/>
          <w:szCs w:val="24"/>
          <w:u w:val="none"/>
          <w:lang w:val="ru-RU"/>
        </w:rPr>
        <w:tab/>
        <w:t>3. Материалы дела передать должностному лицу Ненецкого УФАС России для рассмотрения вопроса о привлечении должностных лиц Заказчика к административной ответственности за нарушение требований законодательства о контрактной системе.</w:t>
      </w:r>
    </w:p>
    <w:p>
      <w:pPr>
        <w:pStyle w:val="ConsPlusNormal1"/>
        <w:widowControl/>
        <w:spacing w:before="0" w:after="0"/>
        <w:ind w:hanging="0"/>
        <w:contextualSpacing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ConsPlusNormal1"/>
        <w:widowControl/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ab/>
        <w:t>Настоящее решение может быть обжаловано в судебном порядке в течение трех месяцев со дня его принятия</w:t>
      </w:r>
    </w:p>
    <w:p>
      <w:pPr>
        <w:pStyle w:val="ConsPlusNormal1"/>
        <w:widowControl/>
        <w:spacing w:before="0" w:after="0"/>
        <w:ind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spacing w:before="0" w:after="0"/>
        <w:ind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Председатель комиссии</w:t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Члены комиссии</w:t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spacing w:before="0" w:after="0"/>
        <w:ind w:firstLine="540"/>
        <w:contextualSpacing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851" w:header="709" w:top="1134" w:footer="0" w:bottom="899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20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67310" cy="16637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1.2pt;margin-top:0.05pt;width:5.2pt;height:13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01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2">
    <w:name w:val="Heading 2"/>
    <w:basedOn w:val="Normal"/>
    <w:qFormat/>
    <w:rsid w:val="00a67011"/>
    <w:pPr>
      <w:tabs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color w:val="383838"/>
      <w:sz w:val="21"/>
      <w:szCs w:val="21"/>
    </w:rPr>
  </w:style>
  <w:style w:type="paragraph" w:styleId="3">
    <w:name w:val="Heading 3"/>
    <w:basedOn w:val="Normal"/>
    <w:qFormat/>
    <w:rsid w:val="00a67011"/>
    <w:pPr>
      <w:keepNext/>
      <w:tabs>
        <w:tab w:val="left" w:pos="0" w:leader="none"/>
      </w:tabs>
      <w:spacing w:lineRule="auto" w:line="240" w:before="240" w:after="60"/>
      <w:ind w:left="720" w:hanging="72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67011"/>
    <w:rPr/>
  </w:style>
  <w:style w:type="character" w:styleId="WW8Num1z1" w:customStyle="1">
    <w:name w:val="WW8Num1z1"/>
    <w:qFormat/>
    <w:rsid w:val="00a67011"/>
    <w:rPr/>
  </w:style>
  <w:style w:type="character" w:styleId="WW8Num1z2" w:customStyle="1">
    <w:name w:val="WW8Num1z2"/>
    <w:qFormat/>
    <w:rsid w:val="00a67011"/>
    <w:rPr/>
  </w:style>
  <w:style w:type="character" w:styleId="WW8Num1z3" w:customStyle="1">
    <w:name w:val="WW8Num1z3"/>
    <w:qFormat/>
    <w:rsid w:val="00a67011"/>
    <w:rPr/>
  </w:style>
  <w:style w:type="character" w:styleId="WW8Num1z4" w:customStyle="1">
    <w:name w:val="WW8Num1z4"/>
    <w:qFormat/>
    <w:rsid w:val="00a67011"/>
    <w:rPr/>
  </w:style>
  <w:style w:type="character" w:styleId="WW8Num1z5" w:customStyle="1">
    <w:name w:val="WW8Num1z5"/>
    <w:qFormat/>
    <w:rsid w:val="00a67011"/>
    <w:rPr/>
  </w:style>
  <w:style w:type="character" w:styleId="WW8Num1z6" w:customStyle="1">
    <w:name w:val="WW8Num1z6"/>
    <w:qFormat/>
    <w:rsid w:val="00a67011"/>
    <w:rPr/>
  </w:style>
  <w:style w:type="character" w:styleId="WW8Num1z7" w:customStyle="1">
    <w:name w:val="WW8Num1z7"/>
    <w:qFormat/>
    <w:rsid w:val="00a67011"/>
    <w:rPr/>
  </w:style>
  <w:style w:type="character" w:styleId="WW8Num1z8" w:customStyle="1">
    <w:name w:val="WW8Num1z8"/>
    <w:qFormat/>
    <w:rsid w:val="00a67011"/>
    <w:rPr/>
  </w:style>
  <w:style w:type="character" w:styleId="WW8Num2z0" w:customStyle="1">
    <w:name w:val="WW8Num2z0"/>
    <w:qFormat/>
    <w:rsid w:val="00a67011"/>
    <w:rPr>
      <w:rFonts w:ascii="Times New Roman" w:hAnsi="Times New Roman" w:cs="Times New Roman"/>
      <w:sz w:val="24"/>
      <w:szCs w:val="24"/>
    </w:rPr>
  </w:style>
  <w:style w:type="character" w:styleId="WW8Num3z0" w:customStyle="1">
    <w:name w:val="WW8Num3z0"/>
    <w:qFormat/>
    <w:rsid w:val="00a6701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 w:customStyle="1">
    <w:name w:val="Основной шрифт абзаца4"/>
    <w:qFormat/>
    <w:rsid w:val="00a67011"/>
    <w:rPr/>
  </w:style>
  <w:style w:type="character" w:styleId="WW8Num3z1" w:customStyle="1">
    <w:name w:val="WW8Num3z1"/>
    <w:qFormat/>
    <w:rsid w:val="00a67011"/>
    <w:rPr/>
  </w:style>
  <w:style w:type="character" w:styleId="WW8Num3z2" w:customStyle="1">
    <w:name w:val="WW8Num3z2"/>
    <w:qFormat/>
    <w:rsid w:val="00a67011"/>
    <w:rPr/>
  </w:style>
  <w:style w:type="character" w:styleId="WW8Num3z3" w:customStyle="1">
    <w:name w:val="WW8Num3z3"/>
    <w:qFormat/>
    <w:rsid w:val="00a67011"/>
    <w:rPr/>
  </w:style>
  <w:style w:type="character" w:styleId="WW8Num3z4" w:customStyle="1">
    <w:name w:val="WW8Num3z4"/>
    <w:qFormat/>
    <w:rsid w:val="00a67011"/>
    <w:rPr/>
  </w:style>
  <w:style w:type="character" w:styleId="WW8Num3z5" w:customStyle="1">
    <w:name w:val="WW8Num3z5"/>
    <w:qFormat/>
    <w:rsid w:val="00a67011"/>
    <w:rPr/>
  </w:style>
  <w:style w:type="character" w:styleId="WW8Num3z6" w:customStyle="1">
    <w:name w:val="WW8Num3z6"/>
    <w:qFormat/>
    <w:rsid w:val="00a67011"/>
    <w:rPr/>
  </w:style>
  <w:style w:type="character" w:styleId="WW8Num3z7" w:customStyle="1">
    <w:name w:val="WW8Num3z7"/>
    <w:qFormat/>
    <w:rsid w:val="00a67011"/>
    <w:rPr/>
  </w:style>
  <w:style w:type="character" w:styleId="WW8Num3z8" w:customStyle="1">
    <w:name w:val="WW8Num3z8"/>
    <w:qFormat/>
    <w:rsid w:val="00a67011"/>
    <w:rPr/>
  </w:style>
  <w:style w:type="character" w:styleId="WW8Num4z0" w:customStyle="1">
    <w:name w:val="WW8Num4z0"/>
    <w:qFormat/>
    <w:rsid w:val="00a67011"/>
    <w:rPr>
      <w:rFonts w:ascii="Times New Roman" w:hAnsi="Times New Roman" w:cs="Times New Roman"/>
      <w:sz w:val="24"/>
      <w:szCs w:val="24"/>
    </w:rPr>
  </w:style>
  <w:style w:type="character" w:styleId="WW8Num4z1" w:customStyle="1">
    <w:name w:val="WW8Num4z1"/>
    <w:qFormat/>
    <w:rsid w:val="00a67011"/>
    <w:rPr/>
  </w:style>
  <w:style w:type="character" w:styleId="WW8Num4z2" w:customStyle="1">
    <w:name w:val="WW8Num4z2"/>
    <w:qFormat/>
    <w:rsid w:val="00a67011"/>
    <w:rPr/>
  </w:style>
  <w:style w:type="character" w:styleId="WW8Num4z3" w:customStyle="1">
    <w:name w:val="WW8Num4z3"/>
    <w:qFormat/>
    <w:rsid w:val="00a67011"/>
    <w:rPr/>
  </w:style>
  <w:style w:type="character" w:styleId="WW8Num4z4" w:customStyle="1">
    <w:name w:val="WW8Num4z4"/>
    <w:qFormat/>
    <w:rsid w:val="00a67011"/>
    <w:rPr/>
  </w:style>
  <w:style w:type="character" w:styleId="WW8Num4z5" w:customStyle="1">
    <w:name w:val="WW8Num4z5"/>
    <w:qFormat/>
    <w:rsid w:val="00a67011"/>
    <w:rPr/>
  </w:style>
  <w:style w:type="character" w:styleId="WW8Num4z6" w:customStyle="1">
    <w:name w:val="WW8Num4z6"/>
    <w:qFormat/>
    <w:rsid w:val="00a67011"/>
    <w:rPr/>
  </w:style>
  <w:style w:type="character" w:styleId="WW8Num4z7" w:customStyle="1">
    <w:name w:val="WW8Num4z7"/>
    <w:qFormat/>
    <w:rsid w:val="00a67011"/>
    <w:rPr/>
  </w:style>
  <w:style w:type="character" w:styleId="WW8Num4z8" w:customStyle="1">
    <w:name w:val="WW8Num4z8"/>
    <w:qFormat/>
    <w:rsid w:val="00a67011"/>
    <w:rPr/>
  </w:style>
  <w:style w:type="character" w:styleId="WW8Num5z0" w:customStyle="1">
    <w:name w:val="WW8Num5z0"/>
    <w:qFormat/>
    <w:rsid w:val="00a67011"/>
    <w:rPr>
      <w:rFonts w:ascii="Times New Roman" w:hAnsi="Times New Roman" w:eastAsia="Times New Roman" w:cs="Times New Roman"/>
      <w:sz w:val="24"/>
      <w:szCs w:val="24"/>
    </w:rPr>
  </w:style>
  <w:style w:type="character" w:styleId="WW8Num5z1" w:customStyle="1">
    <w:name w:val="WW8Num5z1"/>
    <w:qFormat/>
    <w:rsid w:val="00a67011"/>
    <w:rPr/>
  </w:style>
  <w:style w:type="character" w:styleId="WW8Num5z2" w:customStyle="1">
    <w:name w:val="WW8Num5z2"/>
    <w:qFormat/>
    <w:rsid w:val="00a67011"/>
    <w:rPr/>
  </w:style>
  <w:style w:type="character" w:styleId="WW8Num5z3" w:customStyle="1">
    <w:name w:val="WW8Num5z3"/>
    <w:qFormat/>
    <w:rsid w:val="00a67011"/>
    <w:rPr/>
  </w:style>
  <w:style w:type="character" w:styleId="WW8Num5z4" w:customStyle="1">
    <w:name w:val="WW8Num5z4"/>
    <w:qFormat/>
    <w:rsid w:val="00a67011"/>
    <w:rPr/>
  </w:style>
  <w:style w:type="character" w:styleId="WW8Num5z5" w:customStyle="1">
    <w:name w:val="WW8Num5z5"/>
    <w:qFormat/>
    <w:rsid w:val="00a67011"/>
    <w:rPr/>
  </w:style>
  <w:style w:type="character" w:styleId="WW8Num5z6" w:customStyle="1">
    <w:name w:val="WW8Num5z6"/>
    <w:qFormat/>
    <w:rsid w:val="00a67011"/>
    <w:rPr/>
  </w:style>
  <w:style w:type="character" w:styleId="WW8Num5z7" w:customStyle="1">
    <w:name w:val="WW8Num5z7"/>
    <w:qFormat/>
    <w:rsid w:val="00a67011"/>
    <w:rPr/>
  </w:style>
  <w:style w:type="character" w:styleId="WW8Num5z8" w:customStyle="1">
    <w:name w:val="WW8Num5z8"/>
    <w:qFormat/>
    <w:rsid w:val="00a67011"/>
    <w:rPr/>
  </w:style>
  <w:style w:type="character" w:styleId="31" w:customStyle="1">
    <w:name w:val="Основной шрифт абзаца3"/>
    <w:qFormat/>
    <w:rsid w:val="00a67011"/>
    <w:rPr/>
  </w:style>
  <w:style w:type="character" w:styleId="21" w:customStyle="1">
    <w:name w:val="Основной шрифт абзаца2"/>
    <w:qFormat/>
    <w:rsid w:val="00a67011"/>
    <w:rPr/>
  </w:style>
  <w:style w:type="character" w:styleId="WW8Num2z1" w:customStyle="1">
    <w:name w:val="WW8Num2z1"/>
    <w:qFormat/>
    <w:rsid w:val="00a67011"/>
    <w:rPr/>
  </w:style>
  <w:style w:type="character" w:styleId="WW8Num2z2" w:customStyle="1">
    <w:name w:val="WW8Num2z2"/>
    <w:qFormat/>
    <w:rsid w:val="00a67011"/>
    <w:rPr/>
  </w:style>
  <w:style w:type="character" w:styleId="WW8Num2z3" w:customStyle="1">
    <w:name w:val="WW8Num2z3"/>
    <w:qFormat/>
    <w:rsid w:val="00a67011"/>
    <w:rPr/>
  </w:style>
  <w:style w:type="character" w:styleId="WW8Num2z4" w:customStyle="1">
    <w:name w:val="WW8Num2z4"/>
    <w:qFormat/>
    <w:rsid w:val="00a67011"/>
    <w:rPr/>
  </w:style>
  <w:style w:type="character" w:styleId="WW8Num2z5" w:customStyle="1">
    <w:name w:val="WW8Num2z5"/>
    <w:qFormat/>
    <w:rsid w:val="00a67011"/>
    <w:rPr/>
  </w:style>
  <w:style w:type="character" w:styleId="WW8Num2z6" w:customStyle="1">
    <w:name w:val="WW8Num2z6"/>
    <w:qFormat/>
    <w:rsid w:val="00a67011"/>
    <w:rPr/>
  </w:style>
  <w:style w:type="character" w:styleId="WW8Num2z7" w:customStyle="1">
    <w:name w:val="WW8Num2z7"/>
    <w:qFormat/>
    <w:rsid w:val="00a67011"/>
    <w:rPr/>
  </w:style>
  <w:style w:type="character" w:styleId="WW8Num2z8" w:customStyle="1">
    <w:name w:val="WW8Num2z8"/>
    <w:qFormat/>
    <w:rsid w:val="00a67011"/>
    <w:rPr/>
  </w:style>
  <w:style w:type="character" w:styleId="WW8Num6z0" w:customStyle="1">
    <w:name w:val="WW8Num6z0"/>
    <w:qFormat/>
    <w:rsid w:val="00a67011"/>
    <w:rPr/>
  </w:style>
  <w:style w:type="character" w:styleId="WW8Num6z1" w:customStyle="1">
    <w:name w:val="WW8Num6z1"/>
    <w:qFormat/>
    <w:rsid w:val="00a67011"/>
    <w:rPr/>
  </w:style>
  <w:style w:type="character" w:styleId="WW8Num6z2" w:customStyle="1">
    <w:name w:val="WW8Num6z2"/>
    <w:qFormat/>
    <w:rsid w:val="00a67011"/>
    <w:rPr/>
  </w:style>
  <w:style w:type="character" w:styleId="WW8Num6z3" w:customStyle="1">
    <w:name w:val="WW8Num6z3"/>
    <w:qFormat/>
    <w:rsid w:val="00a67011"/>
    <w:rPr/>
  </w:style>
  <w:style w:type="character" w:styleId="WW8Num6z4" w:customStyle="1">
    <w:name w:val="WW8Num6z4"/>
    <w:qFormat/>
    <w:rsid w:val="00a67011"/>
    <w:rPr/>
  </w:style>
  <w:style w:type="character" w:styleId="WW8Num6z5" w:customStyle="1">
    <w:name w:val="WW8Num6z5"/>
    <w:qFormat/>
    <w:rsid w:val="00a67011"/>
    <w:rPr/>
  </w:style>
  <w:style w:type="character" w:styleId="WW8Num6z6" w:customStyle="1">
    <w:name w:val="WW8Num6z6"/>
    <w:qFormat/>
    <w:rsid w:val="00a67011"/>
    <w:rPr/>
  </w:style>
  <w:style w:type="character" w:styleId="WW8Num6z7" w:customStyle="1">
    <w:name w:val="WW8Num6z7"/>
    <w:qFormat/>
    <w:rsid w:val="00a67011"/>
    <w:rPr/>
  </w:style>
  <w:style w:type="character" w:styleId="WW8Num6z8" w:customStyle="1">
    <w:name w:val="WW8Num6z8"/>
    <w:qFormat/>
    <w:rsid w:val="00a67011"/>
    <w:rPr/>
  </w:style>
  <w:style w:type="character" w:styleId="WW8Num7z0" w:customStyle="1">
    <w:name w:val="WW8Num7z0"/>
    <w:qFormat/>
    <w:rsid w:val="00a67011"/>
    <w:rPr>
      <w:rFonts w:ascii="Times New Roman" w:hAnsi="Times New Roman" w:cs="Times New Roman"/>
      <w:sz w:val="26"/>
      <w:szCs w:val="26"/>
    </w:rPr>
  </w:style>
  <w:style w:type="character" w:styleId="WW8Num7z1" w:customStyle="1">
    <w:name w:val="WW8Num7z1"/>
    <w:qFormat/>
    <w:rsid w:val="00a67011"/>
    <w:rPr/>
  </w:style>
  <w:style w:type="character" w:styleId="WW8Num7z2" w:customStyle="1">
    <w:name w:val="WW8Num7z2"/>
    <w:qFormat/>
    <w:rsid w:val="00a67011"/>
    <w:rPr/>
  </w:style>
  <w:style w:type="character" w:styleId="WW8Num7z3" w:customStyle="1">
    <w:name w:val="WW8Num7z3"/>
    <w:qFormat/>
    <w:rsid w:val="00a67011"/>
    <w:rPr/>
  </w:style>
  <w:style w:type="character" w:styleId="WW8Num7z4" w:customStyle="1">
    <w:name w:val="WW8Num7z4"/>
    <w:qFormat/>
    <w:rsid w:val="00a67011"/>
    <w:rPr/>
  </w:style>
  <w:style w:type="character" w:styleId="WW8Num7z5" w:customStyle="1">
    <w:name w:val="WW8Num7z5"/>
    <w:qFormat/>
    <w:rsid w:val="00a67011"/>
    <w:rPr/>
  </w:style>
  <w:style w:type="character" w:styleId="WW8Num7z6" w:customStyle="1">
    <w:name w:val="WW8Num7z6"/>
    <w:qFormat/>
    <w:rsid w:val="00a67011"/>
    <w:rPr/>
  </w:style>
  <w:style w:type="character" w:styleId="WW8Num7z7" w:customStyle="1">
    <w:name w:val="WW8Num7z7"/>
    <w:qFormat/>
    <w:rsid w:val="00a67011"/>
    <w:rPr/>
  </w:style>
  <w:style w:type="character" w:styleId="WW8Num7z8" w:customStyle="1">
    <w:name w:val="WW8Num7z8"/>
    <w:qFormat/>
    <w:rsid w:val="00a67011"/>
    <w:rPr/>
  </w:style>
  <w:style w:type="character" w:styleId="WW8Num8z0" w:customStyle="1">
    <w:name w:val="WW8Num8z0"/>
    <w:qFormat/>
    <w:rsid w:val="00a67011"/>
    <w:rPr/>
  </w:style>
  <w:style w:type="character" w:styleId="WW8Num8z1" w:customStyle="1">
    <w:name w:val="WW8Num8z1"/>
    <w:qFormat/>
    <w:rsid w:val="00a67011"/>
    <w:rPr/>
  </w:style>
  <w:style w:type="character" w:styleId="WW8Num8z2" w:customStyle="1">
    <w:name w:val="WW8Num8z2"/>
    <w:qFormat/>
    <w:rsid w:val="00a67011"/>
    <w:rPr/>
  </w:style>
  <w:style w:type="character" w:styleId="WW8Num8z3" w:customStyle="1">
    <w:name w:val="WW8Num8z3"/>
    <w:qFormat/>
    <w:rsid w:val="00a67011"/>
    <w:rPr/>
  </w:style>
  <w:style w:type="character" w:styleId="WW8Num8z4" w:customStyle="1">
    <w:name w:val="WW8Num8z4"/>
    <w:qFormat/>
    <w:rsid w:val="00a67011"/>
    <w:rPr/>
  </w:style>
  <w:style w:type="character" w:styleId="WW8Num8z5" w:customStyle="1">
    <w:name w:val="WW8Num8z5"/>
    <w:qFormat/>
    <w:rsid w:val="00a67011"/>
    <w:rPr/>
  </w:style>
  <w:style w:type="character" w:styleId="WW8Num8z6" w:customStyle="1">
    <w:name w:val="WW8Num8z6"/>
    <w:qFormat/>
    <w:rsid w:val="00a67011"/>
    <w:rPr/>
  </w:style>
  <w:style w:type="character" w:styleId="WW8Num8z7" w:customStyle="1">
    <w:name w:val="WW8Num8z7"/>
    <w:qFormat/>
    <w:rsid w:val="00a67011"/>
    <w:rPr/>
  </w:style>
  <w:style w:type="character" w:styleId="WW8Num8z8" w:customStyle="1">
    <w:name w:val="WW8Num8z8"/>
    <w:qFormat/>
    <w:rsid w:val="00a67011"/>
    <w:rPr/>
  </w:style>
  <w:style w:type="character" w:styleId="WW8Num9z0" w:customStyle="1">
    <w:name w:val="WW8Num9z0"/>
    <w:qFormat/>
    <w:rsid w:val="00a67011"/>
    <w:rPr>
      <w:color w:val="00000A"/>
    </w:rPr>
  </w:style>
  <w:style w:type="character" w:styleId="WW8Num9z1" w:customStyle="1">
    <w:name w:val="WW8Num9z1"/>
    <w:qFormat/>
    <w:rsid w:val="00a67011"/>
    <w:rPr/>
  </w:style>
  <w:style w:type="character" w:styleId="WW8Num9z2" w:customStyle="1">
    <w:name w:val="WW8Num9z2"/>
    <w:qFormat/>
    <w:rsid w:val="00a67011"/>
    <w:rPr/>
  </w:style>
  <w:style w:type="character" w:styleId="WW8Num9z3" w:customStyle="1">
    <w:name w:val="WW8Num9z3"/>
    <w:qFormat/>
    <w:rsid w:val="00a67011"/>
    <w:rPr/>
  </w:style>
  <w:style w:type="character" w:styleId="WW8Num9z4" w:customStyle="1">
    <w:name w:val="WW8Num9z4"/>
    <w:qFormat/>
    <w:rsid w:val="00a67011"/>
    <w:rPr/>
  </w:style>
  <w:style w:type="character" w:styleId="WW8Num9z5" w:customStyle="1">
    <w:name w:val="WW8Num9z5"/>
    <w:qFormat/>
    <w:rsid w:val="00a67011"/>
    <w:rPr/>
  </w:style>
  <w:style w:type="character" w:styleId="WW8Num9z6" w:customStyle="1">
    <w:name w:val="WW8Num9z6"/>
    <w:qFormat/>
    <w:rsid w:val="00a67011"/>
    <w:rPr/>
  </w:style>
  <w:style w:type="character" w:styleId="WW8Num9z7" w:customStyle="1">
    <w:name w:val="WW8Num9z7"/>
    <w:qFormat/>
    <w:rsid w:val="00a67011"/>
    <w:rPr/>
  </w:style>
  <w:style w:type="character" w:styleId="WW8Num9z8" w:customStyle="1">
    <w:name w:val="WW8Num9z8"/>
    <w:qFormat/>
    <w:rsid w:val="00a67011"/>
    <w:rPr/>
  </w:style>
  <w:style w:type="character" w:styleId="WW8Num10z0" w:customStyle="1">
    <w:name w:val="WW8Num10z0"/>
    <w:qFormat/>
    <w:rsid w:val="00a67011"/>
    <w:rPr>
      <w:rFonts w:ascii="Times New Roman" w:hAnsi="Times New Roman" w:cs="Times New Roman"/>
      <w:sz w:val="26"/>
      <w:szCs w:val="26"/>
    </w:rPr>
  </w:style>
  <w:style w:type="character" w:styleId="WW8Num10z1" w:customStyle="1">
    <w:name w:val="WW8Num10z1"/>
    <w:qFormat/>
    <w:rsid w:val="00a67011"/>
    <w:rPr/>
  </w:style>
  <w:style w:type="character" w:styleId="WW8Num10z2" w:customStyle="1">
    <w:name w:val="WW8Num10z2"/>
    <w:qFormat/>
    <w:rsid w:val="00a67011"/>
    <w:rPr/>
  </w:style>
  <w:style w:type="character" w:styleId="WW8Num10z3" w:customStyle="1">
    <w:name w:val="WW8Num10z3"/>
    <w:qFormat/>
    <w:rsid w:val="00a67011"/>
    <w:rPr/>
  </w:style>
  <w:style w:type="character" w:styleId="WW8Num10z4" w:customStyle="1">
    <w:name w:val="WW8Num10z4"/>
    <w:qFormat/>
    <w:rsid w:val="00a67011"/>
    <w:rPr/>
  </w:style>
  <w:style w:type="character" w:styleId="WW8Num10z5" w:customStyle="1">
    <w:name w:val="WW8Num10z5"/>
    <w:qFormat/>
    <w:rsid w:val="00a67011"/>
    <w:rPr/>
  </w:style>
  <w:style w:type="character" w:styleId="WW8Num10z6" w:customStyle="1">
    <w:name w:val="WW8Num10z6"/>
    <w:qFormat/>
    <w:rsid w:val="00a67011"/>
    <w:rPr/>
  </w:style>
  <w:style w:type="character" w:styleId="WW8Num10z7" w:customStyle="1">
    <w:name w:val="WW8Num10z7"/>
    <w:qFormat/>
    <w:rsid w:val="00a67011"/>
    <w:rPr/>
  </w:style>
  <w:style w:type="character" w:styleId="WW8Num10z8" w:customStyle="1">
    <w:name w:val="WW8Num10z8"/>
    <w:qFormat/>
    <w:rsid w:val="00a67011"/>
    <w:rPr/>
  </w:style>
  <w:style w:type="character" w:styleId="WW8Num11z0" w:customStyle="1">
    <w:name w:val="WW8Num11z0"/>
    <w:qFormat/>
    <w:rsid w:val="00a67011"/>
    <w:rPr/>
  </w:style>
  <w:style w:type="character" w:styleId="WW8Num11z1" w:customStyle="1">
    <w:name w:val="WW8Num11z1"/>
    <w:qFormat/>
    <w:rsid w:val="00a67011"/>
    <w:rPr/>
  </w:style>
  <w:style w:type="character" w:styleId="WW8Num11z2" w:customStyle="1">
    <w:name w:val="WW8Num11z2"/>
    <w:qFormat/>
    <w:rsid w:val="00a67011"/>
    <w:rPr/>
  </w:style>
  <w:style w:type="character" w:styleId="WW8Num11z3" w:customStyle="1">
    <w:name w:val="WW8Num11z3"/>
    <w:qFormat/>
    <w:rsid w:val="00a67011"/>
    <w:rPr/>
  </w:style>
  <w:style w:type="character" w:styleId="WW8Num11z4" w:customStyle="1">
    <w:name w:val="WW8Num11z4"/>
    <w:qFormat/>
    <w:rsid w:val="00a67011"/>
    <w:rPr/>
  </w:style>
  <w:style w:type="character" w:styleId="WW8Num11z5" w:customStyle="1">
    <w:name w:val="WW8Num11z5"/>
    <w:qFormat/>
    <w:rsid w:val="00a67011"/>
    <w:rPr/>
  </w:style>
  <w:style w:type="character" w:styleId="WW8Num11z6" w:customStyle="1">
    <w:name w:val="WW8Num11z6"/>
    <w:qFormat/>
    <w:rsid w:val="00a67011"/>
    <w:rPr/>
  </w:style>
  <w:style w:type="character" w:styleId="WW8Num11z7" w:customStyle="1">
    <w:name w:val="WW8Num11z7"/>
    <w:qFormat/>
    <w:rsid w:val="00a67011"/>
    <w:rPr/>
  </w:style>
  <w:style w:type="character" w:styleId="WW8Num11z8" w:customStyle="1">
    <w:name w:val="WW8Num11z8"/>
    <w:qFormat/>
    <w:rsid w:val="00a67011"/>
    <w:rPr/>
  </w:style>
  <w:style w:type="character" w:styleId="1" w:customStyle="1">
    <w:name w:val="Основной шрифт абзаца1"/>
    <w:qFormat/>
    <w:rsid w:val="00a67011"/>
    <w:rPr/>
  </w:style>
  <w:style w:type="character" w:styleId="Pagenumber">
    <w:name w:val="page number"/>
    <w:basedOn w:val="1"/>
    <w:qFormat/>
    <w:rsid w:val="00a67011"/>
    <w:rPr/>
  </w:style>
  <w:style w:type="character" w:styleId="Style12">
    <w:name w:val="Интернет-ссылка"/>
    <w:rsid w:val="00a67011"/>
    <w:rPr>
      <w:color w:val="0000FF"/>
      <w:u w:val="single"/>
    </w:rPr>
  </w:style>
  <w:style w:type="character" w:styleId="ConsPlusNormal" w:customStyle="1">
    <w:name w:val="ConsPlusNormal Знак"/>
    <w:qFormat/>
    <w:rsid w:val="00a67011"/>
    <w:rPr>
      <w:rFonts w:ascii="Arial" w:hAnsi="Arial" w:cs="Arial"/>
      <w:lang w:val="ru-RU" w:bidi="ar-SA"/>
    </w:rPr>
  </w:style>
  <w:style w:type="character" w:styleId="Spellcheckerwordhighlight" w:customStyle="1">
    <w:name w:val="spellchecker-word-highlight"/>
    <w:basedOn w:val="1"/>
    <w:qFormat/>
    <w:rsid w:val="00a67011"/>
    <w:rPr/>
  </w:style>
  <w:style w:type="character" w:styleId="Style13" w:customStyle="1">
    <w:name w:val="Основной текст_"/>
    <w:basedOn w:val="DefaultParagraphFont"/>
    <w:link w:val="24"/>
    <w:qFormat/>
    <w:rsid w:val="004f597e"/>
    <w:rPr>
      <w:sz w:val="23"/>
      <w:szCs w:val="23"/>
      <w:shd w:fill="FFFFFF" w:val="clear"/>
    </w:rPr>
  </w:style>
  <w:style w:type="character" w:styleId="11" w:customStyle="1">
    <w:name w:val="Основной текст1"/>
    <w:basedOn w:val="Style13"/>
    <w:qFormat/>
    <w:rsid w:val="004f597e"/>
    <w:rPr>
      <w:u w:val="single"/>
    </w:rPr>
  </w:style>
  <w:style w:type="character" w:styleId="85pt1pt" w:customStyle="1">
    <w:name w:val="Основной текст + 8;5 pt;Малые прописные;Интервал 1 pt"/>
    <w:basedOn w:val="Style13"/>
    <w:qFormat/>
    <w:rsid w:val="004f597e"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spacing w:val="20"/>
      <w:sz w:val="17"/>
      <w:szCs w:val="17"/>
      <w:lang w:val="en-US"/>
    </w:rPr>
  </w:style>
  <w:style w:type="character" w:styleId="Appleconvertedspace" w:customStyle="1">
    <w:name w:val="apple-converted-space"/>
    <w:basedOn w:val="DefaultParagraphFont"/>
    <w:qFormat/>
    <w:rsid w:val="00f83244"/>
    <w:rPr/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eastAsia="Times New Roman" w:cs="Times New Roman"/>
      <w:sz w:val="24"/>
      <w:szCs w:val="24"/>
      <w:lang w:eastAsia="ru-RU"/>
    </w:rPr>
  </w:style>
  <w:style w:type="paragraph" w:styleId="Style14" w:customStyle="1">
    <w:name w:val="Заголовок"/>
    <w:basedOn w:val="Normal"/>
    <w:next w:val="Style15"/>
    <w:qFormat/>
    <w:rsid w:val="00a670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a6701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6">
    <w:name w:val="List"/>
    <w:basedOn w:val="Style15"/>
    <w:rsid w:val="00a67011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a67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1" w:customStyle="1">
    <w:name w:val="Указатель4"/>
    <w:basedOn w:val="Normal"/>
    <w:qFormat/>
    <w:rsid w:val="00a67011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a67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a67011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a67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a67011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a67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a67011"/>
    <w:pPr>
      <w:suppressLineNumbers/>
    </w:pPr>
    <w:rPr>
      <w:rFonts w:cs="Mangal"/>
    </w:rPr>
  </w:style>
  <w:style w:type="paragraph" w:styleId="Style19">
    <w:name w:val="Header"/>
    <w:basedOn w:val="Normal"/>
    <w:rsid w:val="00a67011"/>
    <w:pPr>
      <w:tabs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rsid w:val="00a67011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zh-CN" w:bidi="ar-SA"/>
    </w:rPr>
  </w:style>
  <w:style w:type="paragraph" w:styleId="ConsNonformat" w:customStyle="1">
    <w:name w:val="ConsNonformat"/>
    <w:qFormat/>
    <w:rsid w:val="00a67011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zh-CN" w:bidi="ar-SA"/>
    </w:rPr>
  </w:style>
  <w:style w:type="paragraph" w:styleId="Style20" w:customStyle="1">
    <w:name w:val="Адресат вверху"/>
    <w:basedOn w:val="Normal"/>
    <w:qFormat/>
    <w:rsid w:val="00a6701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BalloonText">
    <w:name w:val="Balloon Text"/>
    <w:basedOn w:val="Normal"/>
    <w:qFormat/>
    <w:rsid w:val="00a67011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rsid w:val="00a67011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Дата и номер приказа"/>
    <w:basedOn w:val="Normal"/>
    <w:qFormat/>
    <w:rsid w:val="00a67011"/>
    <w:pPr>
      <w:tabs>
        <w:tab w:val="right" w:pos="9639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Знак Знак Знак"/>
    <w:basedOn w:val="Normal"/>
    <w:qFormat/>
    <w:rsid w:val="00a67011"/>
    <w:pPr>
      <w:spacing w:lineRule="auto" w:line="240" w:before="280" w:after="280"/>
    </w:pPr>
    <w:rPr>
      <w:rFonts w:ascii="Tahoma" w:hAnsi="Tahoma" w:eastAsia="Times New Roman" w:cs="Tahoma"/>
      <w:sz w:val="20"/>
      <w:szCs w:val="20"/>
      <w:lang w:val="en-US"/>
    </w:rPr>
  </w:style>
  <w:style w:type="paragraph" w:styleId="ConsNormal" w:customStyle="1">
    <w:name w:val="ConsNormal"/>
    <w:qFormat/>
    <w:rsid w:val="00a67011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zh-CN" w:bidi="ar-SA"/>
    </w:rPr>
  </w:style>
  <w:style w:type="paragraph" w:styleId="24" w:customStyle="1">
    <w:name w:val="2"/>
    <w:basedOn w:val="Normal"/>
    <w:qFormat/>
    <w:rsid w:val="00a67011"/>
    <w:pPr>
      <w:spacing w:lineRule="exact" w:line="240" w:before="0" w:after="160"/>
    </w:pPr>
    <w:rPr>
      <w:rFonts w:ascii="Verdana" w:hAnsi="Verdana" w:eastAsia="Times New Roman" w:cs="Verdana"/>
      <w:sz w:val="24"/>
      <w:szCs w:val="24"/>
      <w:lang w:val="en-US"/>
    </w:rPr>
  </w:style>
  <w:style w:type="paragraph" w:styleId="ListParagraph">
    <w:name w:val="List Paragraph"/>
    <w:basedOn w:val="Normal"/>
    <w:qFormat/>
    <w:rsid w:val="00a67011"/>
    <w:pPr>
      <w:spacing w:lineRule="auto" w:line="240" w:before="0" w:after="0"/>
      <w:ind w:left="720" w:hanging="0"/>
      <w:contextualSpacing/>
      <w:jc w:val="both"/>
    </w:pPr>
    <w:rPr>
      <w:rFonts w:ascii="Times New Roman" w:hAnsi="Times New Roman" w:eastAsia="Times New Roman" w:cs="Times New Roman"/>
      <w:sz w:val="24"/>
    </w:rPr>
  </w:style>
  <w:style w:type="paragraph" w:styleId="Msonormalcxspmiddle" w:customStyle="1">
    <w:name w:val="msonormalcxspmiddle"/>
    <w:basedOn w:val="Normal"/>
    <w:qFormat/>
    <w:rsid w:val="00a67011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 w:customStyle="1">
    <w:name w:val="Знак1"/>
    <w:basedOn w:val="Normal"/>
    <w:qFormat/>
    <w:rsid w:val="00a67011"/>
    <w:pPr>
      <w:spacing w:lineRule="auto" w:line="240" w:before="280" w:after="280"/>
    </w:pPr>
    <w:rPr>
      <w:rFonts w:ascii="Tahoma" w:hAnsi="Tahoma" w:eastAsia="Times New Roman" w:cs="Tahoma"/>
      <w:sz w:val="20"/>
      <w:szCs w:val="20"/>
      <w:lang w:val="en-US"/>
    </w:rPr>
  </w:style>
  <w:style w:type="paragraph" w:styleId="Parameter" w:customStyle="1">
    <w:name w:val="parameter"/>
    <w:basedOn w:val="Normal"/>
    <w:qFormat/>
    <w:rsid w:val="00a67011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arametervalue" w:customStyle="1">
    <w:name w:val="parametervalue"/>
    <w:basedOn w:val="Normal"/>
    <w:qFormat/>
    <w:rsid w:val="00a67011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34" w:customStyle="1">
    <w:name w:val="Знак3"/>
    <w:basedOn w:val="Normal"/>
    <w:qFormat/>
    <w:rsid w:val="00a67011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24" w:customStyle="1">
    <w:name w:val="Содержимое таблицы"/>
    <w:basedOn w:val="Normal"/>
    <w:qFormat/>
    <w:rsid w:val="00a67011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a67011"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rsid w:val="00a67011"/>
    <w:pPr/>
    <w:rPr/>
  </w:style>
  <w:style w:type="paragraph" w:styleId="25" w:customStyle="1">
    <w:name w:val="Основной текст2"/>
    <w:basedOn w:val="Normal"/>
    <w:link w:val="af3"/>
    <w:qFormat/>
    <w:rsid w:val="004f597e"/>
    <w:pPr>
      <w:shd w:val="clear" w:color="auto" w:fill="FFFFFF"/>
      <w:spacing w:lineRule="exact" w:line="274" w:before="0" w:after="480"/>
    </w:pPr>
    <w:rPr>
      <w:rFonts w:ascii="Times New Roman" w:hAnsi="Times New Roman" w:eastAsia="Times New Roman" w:cs="Times New Roman"/>
      <w:sz w:val="23"/>
      <w:szCs w:val="23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LibreOffice/5.1.2.2$Windows_X86_64 LibreOffice_project/d3bf12ecb743fc0d20e0be0c58ca359301eb705f</Application>
  <Pages>5</Pages>
  <Words>1832</Words>
  <Characters>12498</Characters>
  <CharactersWithSpaces>14435</CharactersWithSpaces>
  <Paragraphs>59</Paragraphs>
  <Company>КонсультантПлюс Версия 4017.00.98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2018-10-04T10:35:00Z</dcterms:created>
  <dc:creator> </dc:creator>
  <dc:description/>
  <dc:language>ru-RU</dc:language>
  <cp:lastModifiedBy/>
  <cp:lastPrinted>2018-10-04T10:38:38Z</cp:lastPrinted>
  <dcterms:modified xsi:type="dcterms:W3CDTF">2018-10-04T14:20:33Z</dcterms:modified>
  <cp:revision>25</cp:revision>
  <dc:subject/>
  <dc:title>Решение Красноярского УФАС России от 27.03.2018 N 340Суть жалобы: Согласно протоколу подведения итогов электронного аукциона, опубликованному в единой информационной системе, заявка общества признана не соответствующей требованиям документации об аукционе. Общество считает, что заявка составлена в соответствии с требованиями документации.Решение: Жалоба признана необоснованной, так как в действиях аукционной комиссии отсутствуют нарушения требований Закона о контрактной системе, а также прав и законных ин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